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3C" w:rsidRPr="00C82C3C" w:rsidRDefault="00C82C3C" w:rsidP="00C82C3C">
      <w:pPr>
        <w:widowControl/>
        <w:spacing w:after="180" w:line="60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C82C3C">
        <w:rPr>
          <w:rFonts w:ascii="方正小标宋_GBK" w:eastAsia="方正小标宋_GBK" w:hAnsi="宋体" w:cs="宋体" w:hint="eastAsia"/>
          <w:kern w:val="0"/>
          <w:sz w:val="36"/>
          <w:szCs w:val="36"/>
        </w:rPr>
        <w:t>2022年1-6月经济运行简析</w:t>
      </w:r>
    </w:p>
    <w:p w:rsidR="00C82C3C" w:rsidRPr="00C82C3C" w:rsidRDefault="00C82C3C" w:rsidP="00C82C3C">
      <w:pPr>
        <w:widowControl/>
        <w:spacing w:after="180" w:line="600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一、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2022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1-6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月，永川区地区生产总值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556.2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5.4%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（按可比价计算），其中一、二、三次产业实现增加值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27.4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303.8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225.0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亿元，分别增长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2.1%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6.8%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4.0%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。三次产业结构比为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4.9:54.6:40.5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C82C3C" w:rsidRPr="00C82C3C" w:rsidRDefault="00C82C3C" w:rsidP="00C82C3C">
      <w:pPr>
        <w:widowControl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二、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2022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1-6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月，规模以上工业企业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345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家，实现规上工业总产值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712.7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15.2%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C82C3C" w:rsidRPr="00C82C3C" w:rsidRDefault="00C82C3C" w:rsidP="00C82C3C">
      <w:pPr>
        <w:widowControl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三、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2022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1-6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月，社会消费品零售总额完成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239.9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1.7%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。批发业销售额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655.3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6.6%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。零售业销售额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116.5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7.7%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。住宿业营业额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3.7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6.5%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。餐饮业营业额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31.0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亿元，同比下降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2.9%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C82C3C" w:rsidRPr="00C82C3C" w:rsidRDefault="00C82C3C" w:rsidP="00C82C3C">
      <w:pPr>
        <w:widowControl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四、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2022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1-6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月，固定资产投资同比增长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8.9%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，其中：第一产业投资同比下降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78.9%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，第二产业投资同比增长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10.7%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，第三产业投资同比增长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7.9%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。工业投资同比增长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12.0%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，房地产投资同比增长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12.2%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C82C3C" w:rsidRPr="00C82C3C" w:rsidRDefault="00C82C3C" w:rsidP="00C82C3C">
      <w:pPr>
        <w:widowControl/>
        <w:spacing w:line="600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五、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2022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1-6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月，永川级一般公共预算收入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22.6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亿元，同比下降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16.6%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。永川级一般公共预算支出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42.9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亿元，同比增长</w:t>
      </w:r>
      <w:r w:rsidRPr="00C82C3C">
        <w:rPr>
          <w:rFonts w:ascii="Times New Roman" w:eastAsia="宋体" w:hAnsi="Times New Roman" w:cs="Times New Roman"/>
          <w:kern w:val="0"/>
          <w:sz w:val="32"/>
          <w:szCs w:val="32"/>
        </w:rPr>
        <w:t>0.4%</w:t>
      </w:r>
      <w:r w:rsidRPr="00C82C3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C82C3C" w:rsidRPr="00C82C3C" w:rsidRDefault="00C82C3C" w:rsidP="00C82C3C">
      <w:pPr>
        <w:widowControl/>
        <w:shd w:val="clear" w:color="auto" w:fill="FFFFFF"/>
        <w:spacing w:after="180" w:line="6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说明:1.部分数据因四舍五入的原因,存在总计与分项合计不等的情况。</w:t>
      </w:r>
    </w:p>
    <w:p w:rsidR="00C82C3C" w:rsidRPr="00C82C3C" w:rsidRDefault="00C82C3C" w:rsidP="00C82C3C">
      <w:pPr>
        <w:widowControl/>
        <w:shd w:val="clear" w:color="auto" w:fill="FFFFFF"/>
        <w:spacing w:after="180" w:line="6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lastRenderedPageBreak/>
        <w:t> </w:t>
      </w: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2.部分数据的合计数或相对数,由于计量单位取舍不同而产生的计算误差未作机械调整。</w:t>
      </w:r>
    </w:p>
    <w:p w:rsidR="00C82C3C" w:rsidRPr="00C82C3C" w:rsidRDefault="00C82C3C" w:rsidP="00C82C3C">
      <w:pPr>
        <w:widowControl/>
        <w:shd w:val="clear" w:color="auto" w:fill="FFFFFF"/>
        <w:spacing w:after="180" w:line="6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 </w:t>
      </w:r>
      <w:r w:rsidRPr="00C82C3C">
        <w:rPr>
          <w:rFonts w:ascii="方正楷体_GBK" w:eastAsia="方正楷体_GBK" w:hAnsi="宋体" w:cs="宋体" w:hint="eastAsia"/>
          <w:kern w:val="0"/>
          <w:sz w:val="24"/>
          <w:szCs w:val="24"/>
        </w:rPr>
        <w:t>3.财政收支数据来源于区财政局。</w:t>
      </w:r>
    </w:p>
    <w:p w:rsidR="00AA2D5A" w:rsidRPr="00C82C3C" w:rsidRDefault="00AA2D5A" w:rsidP="00C82C3C"/>
    <w:sectPr w:rsidR="00AA2D5A" w:rsidRPr="00C8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0"/>
    <w:rsid w:val="0048625A"/>
    <w:rsid w:val="0057021E"/>
    <w:rsid w:val="00617D10"/>
    <w:rsid w:val="00AA2D5A"/>
    <w:rsid w:val="00C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tjj20190328</cp:lastModifiedBy>
  <cp:revision>3</cp:revision>
  <dcterms:created xsi:type="dcterms:W3CDTF">2022-09-08T03:02:00Z</dcterms:created>
  <dcterms:modified xsi:type="dcterms:W3CDTF">2022-09-08T03:04:00Z</dcterms:modified>
</cp:coreProperties>
</file>