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10"/>
          <w:szCs w:val="1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板桥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重庆市永川区板桥镇人民政府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关于印发《板桥镇居住小区电动车“飞线”充电专项整治工作方案》的通知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板桥场社区、镇相关部门：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《板桥镇居住小区电动车“飞线”充电专项整治工作方案》已经镇党政联席会审议通过，现印发给你们，请认真遵照执行。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789" w:leftChars="2128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重庆市永川区板桥镇人民政府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790" w:leftChars="1824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板桥镇居住小区电动车“飞线”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充电专项整治工作方案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中华人民共和国消防法》《中华人民共和国电力法》《中华人民共和国治安管理处罚法》《高层民用建筑消防安全管理规定》等有关规定及《永川居住小区电动车“飞线”充电专项整治工作方案》文件要求，为预防居住小区电动车“飞线”充电引发火灾事故，保护人民群众生命财产安全，结合我镇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以人民群众实际需求为导向，以居住小区及老街为重点，开展电动车“飞线”充电专项整治，进一步加强电动车集中充电设施建设，建立属地为主、部门联动、全民共管的隐患排查整治、现场联动处置和疏堵结合长效管控机制，全面消除居住小区及老街电动车“飞线”充电现象，为辖区居民创造更加安全的生产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二、工作机构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成立全镇居住小区电动车“飞线”充电专项整治工作领导小组，负责统筹全镇居住小区电动车“飞线”充电专项整治工作。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Ansi="方正仿宋_GBK" w:eastAsia="方正仿宋_GBK"/>
          <w:sz w:val="32"/>
          <w:szCs w:val="32"/>
          <w:shd w:val="clear" w:color="auto" w:fill="FFFFFF"/>
        </w:rPr>
      </w:pPr>
      <w:r>
        <w:rPr>
          <w:rFonts w:hAnsi="方正仿宋_GBK" w:eastAsia="方正仿宋_GBK"/>
          <w:sz w:val="32"/>
          <w:szCs w:val="32"/>
          <w:shd w:val="clear" w:color="auto" w:fill="FFFFFF"/>
        </w:rPr>
        <w:t>组</w:t>
      </w:r>
      <w:r>
        <w:rPr>
          <w:rFonts w:hint="eastAsia" w:hAnsi="方正仿宋_GBK" w:eastAsia="方正仿宋_GBK"/>
          <w:sz w:val="32"/>
          <w:szCs w:val="32"/>
          <w:shd w:val="clear" w:color="auto" w:fill="FFFFFF"/>
        </w:rPr>
        <w:t xml:space="preserve">    </w:t>
      </w:r>
      <w:r>
        <w:rPr>
          <w:rFonts w:hint="eastAsia" w:eastAsia="方正仿宋_GBK"/>
          <w:sz w:val="32"/>
          <w:szCs w:val="32"/>
          <w:shd w:val="clear" w:color="auto" w:fill="FFFFFF"/>
        </w:rPr>
        <w:t>长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：</w:t>
      </w:r>
      <w:r>
        <w:rPr>
          <w:rFonts w:hint="eastAsia" w:eastAsia="方正仿宋_GBK"/>
          <w:sz w:val="32"/>
          <w:szCs w:val="32"/>
          <w:shd w:val="clear" w:color="auto" w:fill="FFFFFF"/>
        </w:rPr>
        <w:t xml:space="preserve"> 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周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萍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党委副书记、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镇长</w:t>
      </w:r>
    </w:p>
    <w:p>
      <w:pPr>
        <w:pStyle w:val="4"/>
        <w:widowControl/>
        <w:spacing w:line="594" w:lineRule="exact"/>
        <w:ind w:firstLine="640" w:firstLineChars="20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hAnsi="方正仿宋_GBK" w:eastAsia="方正仿宋_GBK"/>
          <w:sz w:val="32"/>
          <w:szCs w:val="32"/>
          <w:shd w:val="clear" w:color="auto" w:fill="FFFFFF"/>
        </w:rPr>
        <w:t>副</w:t>
      </w:r>
      <w:r>
        <w:rPr>
          <w:rFonts w:eastAsia="方正仿宋_GBK"/>
          <w:sz w:val="32"/>
          <w:szCs w:val="32"/>
          <w:shd w:val="clear" w:color="auto" w:fill="FFFFFF"/>
        </w:rPr>
        <w:t xml:space="preserve">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组</w:t>
      </w:r>
      <w:r>
        <w:rPr>
          <w:rFonts w:eastAsia="方正仿宋_GBK"/>
          <w:sz w:val="32"/>
          <w:szCs w:val="32"/>
          <w:shd w:val="clear" w:color="auto" w:fill="FFFFFF"/>
        </w:rPr>
        <w:t xml:space="preserve">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长：</w:t>
      </w:r>
      <w:r>
        <w:rPr>
          <w:rFonts w:eastAsia="方正仿宋_GBK"/>
          <w:sz w:val="32"/>
          <w:szCs w:val="32"/>
          <w:shd w:val="clear" w:color="auto" w:fill="FFFFFF"/>
        </w:rPr>
        <w:t xml:space="preserve">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盘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宏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党委委员、政法</w:t>
      </w: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委员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、副镇长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赖</w:t>
      </w:r>
      <w:r>
        <w:rPr>
          <w:rFonts w:hint="eastAsia" w:hAnsi="方正仿宋_GBK" w:eastAsia="方正仿宋_GBK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芳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党委委员、纪委书记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hint="default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胡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跃</w:t>
      </w: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 xml:space="preserve">  副镇长</w:t>
      </w:r>
    </w:p>
    <w:p>
      <w:pPr>
        <w:pStyle w:val="4"/>
        <w:widowControl/>
        <w:spacing w:line="594" w:lineRule="exact"/>
        <w:ind w:firstLine="640" w:firstLineChars="20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hAnsi="方正仿宋_GBK" w:eastAsia="方正仿宋_GBK"/>
          <w:sz w:val="32"/>
          <w:szCs w:val="32"/>
          <w:shd w:val="clear" w:color="auto" w:fill="FFFFFF"/>
        </w:rPr>
        <w:t>成</w:t>
      </w:r>
      <w:r>
        <w:rPr>
          <w:rFonts w:eastAsia="方正仿宋_GBK"/>
          <w:sz w:val="32"/>
          <w:szCs w:val="32"/>
          <w:shd w:val="clear" w:color="auto" w:fill="FFFFFF"/>
        </w:rPr>
        <w:t xml:space="preserve">  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员：</w:t>
      </w:r>
      <w:r>
        <w:rPr>
          <w:rFonts w:eastAsia="方正仿宋_GBK"/>
          <w:sz w:val="32"/>
          <w:szCs w:val="32"/>
          <w:shd w:val="clear" w:color="auto" w:fill="FFFFFF"/>
        </w:rPr>
        <w:t xml:space="preserve">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冷先红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规划建设管理环保办主任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hAnsi="方正仿宋_GBK" w:eastAsia="方正仿宋_GBK"/>
          <w:sz w:val="32"/>
          <w:szCs w:val="32"/>
          <w:shd w:val="clear" w:color="auto" w:fill="FFFFFF"/>
        </w:rPr>
        <w:t>李天喜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综合行政执法办公室主任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hint="eastAsia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Ansi="方正仿宋_GBK" w:eastAsia="方正仿宋_GBK"/>
          <w:sz w:val="32"/>
          <w:szCs w:val="32"/>
          <w:shd w:val="clear" w:color="auto" w:fill="FFFFFF"/>
        </w:rPr>
        <w:t>唐春燕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经发</w:t>
      </w: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办负责人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邓仕建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应急办</w:t>
      </w: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负责人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唐得生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三教规划和资源所所长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hAnsi="方正仿宋_GBK" w:eastAsia="方正仿宋_GBK"/>
          <w:sz w:val="32"/>
          <w:szCs w:val="32"/>
          <w:shd w:val="clear" w:color="auto" w:fill="FFFFFF"/>
        </w:rPr>
        <w:t>涂珍元</w:t>
      </w:r>
      <w:r>
        <w:rPr>
          <w:rFonts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板桥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派出所所长</w:t>
      </w:r>
    </w:p>
    <w:p>
      <w:pPr>
        <w:pStyle w:val="4"/>
        <w:widowControl/>
        <w:spacing w:line="594" w:lineRule="exact"/>
        <w:ind w:firstLine="2400" w:firstLineChars="75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许希茂</w:t>
      </w:r>
      <w:r>
        <w:rPr>
          <w:rFonts w:hint="eastAsia" w:hAnsi="方正仿宋_GBK" w:eastAsia="方正仿宋_GBK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hAnsi="方正仿宋_GBK" w:eastAsia="方正仿宋_GBK"/>
          <w:sz w:val="32"/>
          <w:szCs w:val="32"/>
          <w:shd w:val="clear" w:color="auto" w:fill="FFFFFF"/>
          <w:lang w:eastAsia="zh-CN"/>
        </w:rPr>
        <w:t>板桥场社区</w:t>
      </w:r>
      <w:r>
        <w:rPr>
          <w:rFonts w:hAnsi="方正仿宋_GBK" w:eastAsia="方正仿宋_GBK"/>
          <w:sz w:val="32"/>
          <w:szCs w:val="32"/>
          <w:shd w:val="clear" w:color="auto" w:fill="FFFFFF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领导小组办公室设在镇规环办，由胡跃兼任办公室主任，冷先红、叶廷明、曾宪雍、陈地宽、杨代勇、代蕊聪、陈世豪等为成员，办公室负责处理日常事务。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（一）规环办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1.牵头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居住小区电动车“飞线”充电专项整治工作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的协调、推进和落实，定期组织召开专题会议研究解决工作中遇到困难和问题；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2.组织对小区、老街充电设施需求进行摸排，按照实际需求，再建设一批集中充电桩，并督促建设单位按标准进行建设，督促社区对集中充电设施做好维护和保养；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2.督促社区落实消防安全管理责任，定期开展“飞线”充电专项巡查，加强对业主的宣传引导，及时劝阻、制止违规行为。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1.牵头组织相关职能部门开展联合执法行动；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2.组织开展“飞线”充电行为的检查，对工作中发现的“飞线”充电的违法行为，下发《责令改正通知书》责令改正；对阻碍相关部门依法执行公务的，依法予以查处。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（三）应急办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1.组织开展“飞线”充电违法行为的检查，对发现的违法行为以及其他移交的违法行为依法予以查处；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2.负责指导居（村）委会制定应急预案并组织开展应急演练；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3.制定电动车停放、充电场所防火技术导则，配合集中充电设施建设；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4.收集曝光因“飞线”充电引发火灾的典型案例，加强电动车火灾防范的警示、科普教育及逃生疏散常识宣传。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（四）经发办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负责组织供电部门，针对排查出的居住小区“飞线”充电行为不整改的业主，采取断电措施。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（五）综合执法办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负责居住建设集中充电设施的政策指导和支持，并做好沟通解释工作。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四、整治要求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（一）严禁在居住小区建筑内及老街的首层门厅、共用走道、疏散通道、安全出口、楼梯间（门洞口）、楼层楼道及地下室等公共区域停放电动车或者为电动车充电，严禁业主私拉乱接对电动车进行充电。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（二）居住小区及老街坚持“集中充电、集中管理”的原则，按照规定集中设置电动车停放、充电区域，落实管理责任，并张贴禁停、禁充区域醒目标识。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（三）居住小区及老街电动车集中停放、充电区域应当设置在建筑外部的独立区域，与相邻建筑保持一定安全距离，并配备必要的消防设施器材，周围不得有可燃物。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（四）受场地环境限制，电动车集中停放、充电区域必须附设在建筑内时，要与建筑其他区域采取防火分隔措施并独立设置，并按照《建筑设计防火规范》设置火灾自动报警系统、自动喷水灭火 系统和防排烟设施。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（五）加强宣传教育引导市民规范存放电动车，经常组织开展检查巡查和消防宣传，及时劝阻、制止电动车违规停放、“飞线”充电行为。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（一）宣传发动阶段（2022年5月31日前）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镇应急办牵头，规环办、板桥场社区配合，聚焦辖区小区、老街，收集区内外电动车火灾事故典型案例，制作“飞线”充电专项整治工作宣传视频、海报、横幅，利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用LED屏、广播和居民住宅区板报、公示栏等宣传阵地，不间断地开展电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动车安全停放、充电知识宣传，做到随处可见“飞线”充电整治内容。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（二）设施完善阶段（2022年6月30日前）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镇规环办牵头，在前期已建成一批充电设施的基础上，按照实际需求，再建设一批集中充电点。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（三）排查整治阶段（5月25日—6月30日）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经发办牵头，规环办、应急办、板桥场社区配合，对居住小区“飞线”充电行为，逐小区、逐楼栋、逐单元进行排查，对排查出来的隐患，立即进行劝阻和制止，对于劝阻制止无效的业主，通知供电企业采取断电措施，力争整治一批消防安全隐患，消除一批违法违规行为。镇派出所牵头，会同镇经发办、规环办、应急办、综合执法办对矛盾突出、整改困难的居住小区进行联合执法，做到“四个一律”：一律教育劝导，责令撤除；对拒不撤除的，一律法制警示，强制撤除；对阻挠撤除的，一律传唤教育；对涉嫌违反《消防法》《治安管理处罚法》的行为，一律由镇应急办、派出所依法严肃处理，确保整治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（五）常态管理阶段（6月30日以后）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落实属地管理责任，建立常态化管理和处置工作机制，把“飞线”充电行为纳入社区综合治理的重要内容，督促社区网格长、网格员每天对居住小区进行巡查，发现隐患立即督促整改，确保第一时间稳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六、工作要求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（一）加强组织领导。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正值夏季高温消防事故频发阶段，相关部门要清醒认识当前安全生产形势和“飞线”充电专项整治行动的重要意义，按照“飞线”充电专项整治行动要求和安全生产总体部署，加强当前安全生产工作。主要负责人亲自抓，具体负责人具体抓，其他同志协助抓，明确各方安全监管责任，制定切实可行措施，严格检查督促，强化追责问效，杜绝“飞线”充电安全事故的发生，确保全镇安全生产基本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（二）加强协作配合。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规环办要履行好牵头职能，进一步细化工作方案，把工作要求和标准落实到具体流程和各个环节上，确保每项要求到点到位、严格落实。相关职能部门要对照职责分工，加大工作组织推进力度，确保不打折扣的落实到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（三）严肃追责问责。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督查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办将对专项整治工作中存在重难点问题开展督查，对整治工作推进不力的职能部门及不负责任、玩忽职守出问题的个人严肃查处。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exact"/>
      <w:rPr>
        <w:rFonts w:ascii="Arial" w:hAnsi="Arial" w:eastAsia="Arial" w:cs="Arial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GJhMjBiNmM5ZGI3MTA3ZjNkODM4NTZiNDMzNWUifQ=="/>
  </w:docVars>
  <w:rsids>
    <w:rsidRoot w:val="00000000"/>
    <w:rsid w:val="0654081F"/>
    <w:rsid w:val="0667316B"/>
    <w:rsid w:val="08066DBF"/>
    <w:rsid w:val="0A9521AE"/>
    <w:rsid w:val="35E14863"/>
    <w:rsid w:val="4B0102E9"/>
    <w:rsid w:val="596B1B47"/>
    <w:rsid w:val="5F3276A2"/>
    <w:rsid w:val="5F4B4EC7"/>
    <w:rsid w:val="6C3E0A76"/>
    <w:rsid w:val="77705B77"/>
    <w:rsid w:val="7BFE3873"/>
    <w:rsid w:val="7D8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2642</Words>
  <Characters>2672</Characters>
  <Lines>0</Lines>
  <Paragraphs>0</Paragraphs>
  <TotalTime>11</TotalTime>
  <ScaleCrop>false</ScaleCrop>
  <LinksUpToDate>false</LinksUpToDate>
  <CharactersWithSpaces>2719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2022-05-17T08:01:00Z</dcterms:created>
  <dc:creator>Administrator</dc:creator>
  <cp:lastModifiedBy>羊咩咩</cp:lastModifiedBy>
  <cp:lastPrinted>2022-06-13T02:04:17Z</cp:lastPrinted>
  <dcterms:modified xsi:type="dcterms:W3CDTF">2022-06-13T02:20:09Z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C647F50B157A480D80AAEEF24B2CE16C</vt:lpwstr>
  </property>
</Properties>
</file>