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仿宋_GBK"/>
          <w:sz w:val="32"/>
        </w:rPr>
      </w:pPr>
      <w:r>
        <w:rPr>
          <w:rFonts w:eastAsia="方正仿宋_GBK"/>
          <w:sz w:val="32"/>
        </w:rPr>
        <w:t>永大安〔202</w:t>
      </w:r>
      <w:r>
        <w:rPr>
          <w:rFonts w:hint="eastAsia" w:eastAsia="方正仿宋_GBK"/>
          <w:sz w:val="32"/>
        </w:rPr>
        <w:t>2</w:t>
      </w:r>
      <w:r>
        <w:rPr>
          <w:rFonts w:eastAsia="方正仿宋_GBK"/>
          <w:sz w:val="32"/>
        </w:rPr>
        <w:t>〕</w:t>
      </w:r>
      <w:r>
        <w:rPr>
          <w:rFonts w:hint="eastAsia" w:eastAsia="方正仿宋_GBK"/>
          <w:sz w:val="32"/>
        </w:rPr>
        <w:t>112</w:t>
      </w:r>
      <w:r>
        <w:rPr>
          <w:rFonts w:eastAsia="方正仿宋_GBK"/>
          <w:sz w:val="32"/>
          <w:szCs w:val="32"/>
        </w:rPr>
        <w:t>号</w:t>
      </w:r>
    </w:p>
    <w:p>
      <w:pPr>
        <w:adjustRightInd w:val="0"/>
        <w:snapToGrid w:val="0"/>
        <w:spacing w:line="594" w:lineRule="exact"/>
        <w:jc w:val="center"/>
        <w:rPr>
          <w:rFonts w:eastAsia="楷体_GB2312"/>
          <w:b/>
          <w:bCs/>
          <w:sz w:val="44"/>
        </w:rPr>
      </w:pPr>
    </w:p>
    <w:p>
      <w:pPr>
        <w:adjustRightInd w:val="0"/>
        <w:snapToGrid w:val="0"/>
        <w:spacing w:line="594" w:lineRule="exact"/>
        <w:jc w:val="center"/>
        <w:rPr>
          <w:rFonts w:eastAsia="楷体_GB2312"/>
          <w:b/>
          <w:bCs/>
          <w:sz w:val="44"/>
        </w:rPr>
      </w:pPr>
    </w:p>
    <w:p>
      <w:pPr>
        <w:adjustRightInd w:val="0"/>
        <w:snapToGrid w:val="0"/>
        <w:spacing w:line="594" w:lineRule="exact"/>
        <w:jc w:val="center"/>
        <w:rPr>
          <w:rFonts w:eastAsia="方正小标宋_GBK"/>
          <w:sz w:val="44"/>
          <w:szCs w:val="44"/>
        </w:rPr>
      </w:pPr>
      <w:r>
        <w:rPr>
          <w:rFonts w:eastAsia="方正小标宋_GBK"/>
          <w:sz w:val="44"/>
          <w:szCs w:val="44"/>
        </w:rPr>
        <w:t>重庆市永川区大安街道办事处</w:t>
      </w:r>
    </w:p>
    <w:p>
      <w:pPr>
        <w:snapToGrid w:val="0"/>
        <w:spacing w:line="594" w:lineRule="exact"/>
        <w:jc w:val="center"/>
        <w:rPr>
          <w:rFonts w:eastAsia="方正小标宋_GBK"/>
          <w:bCs/>
          <w:sz w:val="44"/>
          <w:szCs w:val="44"/>
        </w:rPr>
      </w:pPr>
      <w:r>
        <w:rPr>
          <w:rFonts w:eastAsia="方正小标宋_GBK"/>
          <w:bCs/>
          <w:spacing w:val="-17"/>
          <w:sz w:val="44"/>
          <w:szCs w:val="44"/>
        </w:rPr>
        <w:t>关于印发《</w:t>
      </w:r>
      <w:r>
        <w:rPr>
          <w:rFonts w:eastAsia="方正小标宋_GBK"/>
          <w:spacing w:val="-17"/>
          <w:sz w:val="44"/>
          <w:szCs w:val="44"/>
        </w:rPr>
        <w:t>大安街道</w:t>
      </w:r>
      <w:r>
        <w:rPr>
          <w:rFonts w:hint="eastAsia" w:eastAsia="方正小标宋_GBK" w:cs="方正小标宋_GBK"/>
          <w:spacing w:val="-17"/>
          <w:sz w:val="44"/>
          <w:szCs w:val="44"/>
        </w:rPr>
        <w:t>政策性文件公开工作</w:t>
      </w:r>
      <w:r>
        <w:rPr>
          <w:rFonts w:hint="eastAsia" w:eastAsia="方正小标宋_GBK"/>
          <w:spacing w:val="-17"/>
          <w:sz w:val="44"/>
          <w:szCs w:val="44"/>
        </w:rPr>
        <w:t>方案</w:t>
      </w:r>
      <w:r>
        <w:rPr>
          <w:rFonts w:eastAsia="方正小标宋_GBK"/>
          <w:bCs/>
          <w:spacing w:val="-17"/>
          <w:sz w:val="44"/>
          <w:szCs w:val="44"/>
        </w:rPr>
        <w:t>》的</w:t>
      </w:r>
      <w:r>
        <w:rPr>
          <w:rFonts w:eastAsia="方正小标宋_GBK"/>
          <w:bCs/>
          <w:sz w:val="44"/>
          <w:szCs w:val="44"/>
        </w:rPr>
        <w:t>通</w:t>
      </w:r>
      <w:r>
        <w:rPr>
          <w:rFonts w:hint="eastAsia" w:eastAsia="方正小标宋_GBK"/>
          <w:bCs/>
          <w:sz w:val="44"/>
          <w:szCs w:val="44"/>
          <w:lang w:val="en-US" w:eastAsia="zh-CN"/>
        </w:rPr>
        <w:t xml:space="preserve">   </w:t>
      </w:r>
      <w:r>
        <w:rPr>
          <w:rFonts w:eastAsia="方正小标宋_GBK"/>
          <w:bCs/>
          <w:sz w:val="44"/>
          <w:szCs w:val="44"/>
        </w:rPr>
        <w:t>知</w:t>
      </w:r>
    </w:p>
    <w:p>
      <w:pPr>
        <w:snapToGrid w:val="0"/>
        <w:jc w:val="center"/>
        <w:rPr>
          <w:rFonts w:ascii="方正仿宋_GBK" w:hAnsi="方正仿宋_GBK" w:eastAsia="方正仿宋_GBK" w:cs="方正仿宋_GBK"/>
          <w:sz w:val="32"/>
          <w:szCs w:val="32"/>
        </w:rPr>
      </w:pPr>
    </w:p>
    <w:p>
      <w:pPr>
        <w:snapToGrid w:val="0"/>
        <w:spacing w:line="594"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街道各部门，有关单位：</w:t>
      </w:r>
    </w:p>
    <w:p>
      <w:pPr>
        <w:snapToGrid w:val="0"/>
        <w:spacing w:line="594" w:lineRule="exact"/>
        <w:rPr>
          <w:rFonts w:eastAsia="方正小标宋_GBK"/>
          <w:bCs/>
          <w:sz w:val="44"/>
          <w:szCs w:val="44"/>
        </w:rPr>
      </w:pPr>
      <w:r>
        <w:rPr>
          <w:rFonts w:hint="eastAsia" w:ascii="方正仿宋_GBK" w:hAnsi="方正仿宋_GBK" w:eastAsia="方正仿宋_GBK" w:cs="方正仿宋_GBK"/>
          <w:sz w:val="32"/>
          <w:szCs w:val="32"/>
        </w:rPr>
        <w:t>为贯彻落实党中央、</w:t>
      </w:r>
      <w:bookmarkStart w:id="0" w:name="_GoBack"/>
      <w:bookmarkEnd w:id="0"/>
      <w:r>
        <w:rPr>
          <w:rFonts w:hint="eastAsia" w:ascii="方正仿宋_GBK" w:hAnsi="方正仿宋_GBK" w:eastAsia="方正仿宋_GBK" w:cs="方正仿宋_GBK"/>
          <w:sz w:val="32"/>
          <w:szCs w:val="32"/>
        </w:rPr>
        <w:t>国务院</w:t>
      </w:r>
      <w:r>
        <w:rPr>
          <w:rFonts w:eastAsia="方正仿宋_GBK"/>
          <w:sz w:val="32"/>
          <w:szCs w:val="32"/>
        </w:rPr>
        <w:t>，</w:t>
      </w:r>
      <w:r>
        <w:rPr>
          <w:rFonts w:hint="eastAsia" w:ascii="方正仿宋_GBK" w:hAnsi="方正仿宋_GBK" w:eastAsia="方正仿宋_GBK" w:cs="方正仿宋_GBK"/>
          <w:sz w:val="32"/>
          <w:szCs w:val="32"/>
        </w:rPr>
        <w:t>市委、市政府和区委、区政府关于推进政务公开、建设法治政府的决策部署，根据《重庆市人民政府办公厅关于进一步做好市政府政策性文件公开工作的通知》（</w:t>
      </w:r>
      <w:r>
        <w:rPr>
          <w:rFonts w:hint="eastAsia" w:eastAsia="方正仿宋_GBK" w:cs="方正仿宋_GBK"/>
          <w:sz w:val="32"/>
          <w:szCs w:val="20"/>
        </w:rPr>
        <w:t>渝府办发〔</w:t>
      </w:r>
      <w:r>
        <w:rPr>
          <w:rFonts w:eastAsia="方正仿宋_GBK"/>
          <w:sz w:val="32"/>
          <w:szCs w:val="20"/>
        </w:rPr>
        <w:t>2022</w:t>
      </w:r>
      <w:r>
        <w:rPr>
          <w:rFonts w:hint="eastAsia" w:eastAsia="方正仿宋_GBK" w:cs="方正仿宋_GBK"/>
          <w:sz w:val="32"/>
          <w:szCs w:val="20"/>
        </w:rPr>
        <w:t>〕</w:t>
      </w:r>
      <w:r>
        <w:rPr>
          <w:rFonts w:hint="eastAsia" w:cs="方正仿宋_GBK"/>
          <w:sz w:val="32"/>
          <w:szCs w:val="20"/>
        </w:rPr>
        <w:t>43</w:t>
      </w:r>
      <w:r>
        <w:rPr>
          <w:rFonts w:hint="eastAsia" w:eastAsia="方正仿宋_GBK" w:cs="方正仿宋_GBK"/>
          <w:sz w:val="32"/>
          <w:szCs w:val="20"/>
        </w:rPr>
        <w:t>号</w:t>
      </w:r>
      <w:r>
        <w:rPr>
          <w:rFonts w:hint="eastAsia" w:ascii="方正仿宋_GBK" w:hAnsi="方正仿宋_GBK" w:eastAsia="方正仿宋_GBK" w:cs="方正仿宋_GBK"/>
          <w:sz w:val="32"/>
          <w:szCs w:val="32"/>
        </w:rPr>
        <w:t>）</w:t>
      </w:r>
      <w:r>
        <w:rPr>
          <w:rFonts w:eastAsia="方正仿宋_GBK"/>
          <w:sz w:val="32"/>
          <w:szCs w:val="32"/>
        </w:rPr>
        <w:t>和</w:t>
      </w:r>
      <w:r>
        <w:rPr>
          <w:rFonts w:hint="eastAsia" w:ascii="方正仿宋_GBK" w:hAnsi="方正仿宋_GBK" w:eastAsia="方正仿宋_GBK" w:cs="方正仿宋_GBK"/>
          <w:sz w:val="32"/>
          <w:szCs w:val="32"/>
        </w:rPr>
        <w:t>《重庆市永川区人民政府办公室关于进一步做好区政府政策性文件公开工作的通知》（</w:t>
      </w:r>
      <w:r>
        <w:rPr>
          <w:rFonts w:eastAsia="方正仿宋_GBK"/>
          <w:sz w:val="32"/>
          <w:szCs w:val="32"/>
        </w:rPr>
        <w:t>永川府办发〔2022〕74号</w:t>
      </w:r>
      <w:r>
        <w:rPr>
          <w:rFonts w:hint="eastAsia" w:ascii="方正仿宋_GBK" w:hAnsi="方正仿宋_GBK" w:eastAsia="方正仿宋_GBK" w:cs="方正仿宋_GBK"/>
          <w:sz w:val="32"/>
          <w:szCs w:val="32"/>
        </w:rPr>
        <w:t>）</w:t>
      </w:r>
      <w:r>
        <w:rPr>
          <w:rFonts w:eastAsia="方正仿宋_GBK"/>
          <w:sz w:val="32"/>
          <w:szCs w:val="32"/>
        </w:rPr>
        <w:t>要求，特制定</w:t>
      </w:r>
      <w:r>
        <w:rPr>
          <w:rFonts w:hint="eastAsia" w:eastAsia="方正仿宋_GBK"/>
          <w:sz w:val="32"/>
          <w:szCs w:val="32"/>
        </w:rPr>
        <w:t>《大安街道政策性文件公开工作方案》，</w:t>
      </w:r>
      <w:r>
        <w:rPr>
          <w:rFonts w:hint="eastAsia" w:ascii="方正仿宋_GBK" w:hAnsi="方正仿宋_GBK" w:eastAsia="方正仿宋_GBK" w:cs="方正仿宋_GBK"/>
          <w:sz w:val="32"/>
          <w:szCs w:val="32"/>
        </w:rPr>
        <w:t>经街道</w:t>
      </w:r>
      <w:r>
        <w:rPr>
          <w:rFonts w:eastAsia="方正仿宋_GBK"/>
          <w:sz w:val="32"/>
          <w:szCs w:val="32"/>
        </w:rPr>
        <w:t>办事处</w:t>
      </w:r>
      <w:r>
        <w:rPr>
          <w:rFonts w:hint="eastAsia" w:ascii="方正仿宋_GBK" w:hAnsi="方正仿宋_GBK" w:eastAsia="方正仿宋_GBK" w:cs="方正仿宋_GBK"/>
          <w:sz w:val="32"/>
          <w:szCs w:val="32"/>
        </w:rPr>
        <w:t>同意，现印发给你们，请</w:t>
      </w:r>
      <w:r>
        <w:rPr>
          <w:rFonts w:eastAsia="方正仿宋_GBK"/>
          <w:sz w:val="32"/>
          <w:szCs w:val="32"/>
        </w:rPr>
        <w:t>严格</w:t>
      </w:r>
      <w:r>
        <w:rPr>
          <w:rFonts w:hint="eastAsia" w:ascii="方正仿宋_GBK" w:hAnsi="方正仿宋_GBK" w:eastAsia="方正仿宋_GBK" w:cs="方正仿宋_GBK"/>
          <w:sz w:val="32"/>
          <w:szCs w:val="32"/>
        </w:rPr>
        <w:t>遵照执行。</w:t>
      </w:r>
    </w:p>
    <w:p>
      <w:pPr>
        <w:snapToGrid w:val="0"/>
        <w:spacing w:line="594" w:lineRule="exact"/>
        <w:jc w:val="both"/>
        <w:rPr>
          <w:rFonts w:eastAsia="方正小标宋_GBK"/>
          <w:bCs/>
          <w:sz w:val="44"/>
          <w:szCs w:val="44"/>
        </w:rPr>
      </w:pPr>
    </w:p>
    <w:p>
      <w:pPr>
        <w:snapToGrid w:val="0"/>
        <w:spacing w:line="594" w:lineRule="exact"/>
        <w:jc w:val="both"/>
        <w:rPr>
          <w:rFonts w:eastAsia="方正小标宋_GBK"/>
          <w:bCs/>
          <w:sz w:val="44"/>
          <w:szCs w:val="44"/>
        </w:rPr>
      </w:pPr>
    </w:p>
    <w:p>
      <w:pPr>
        <w:snapToGrid w:val="0"/>
        <w:spacing w:line="594"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重庆市永川区大安街道办事处</w:t>
      </w:r>
    </w:p>
    <w:p>
      <w:pPr>
        <w:wordWrap w:val="0"/>
        <w:adjustRightInd w:val="0"/>
        <w:snapToGrid w:val="0"/>
        <w:spacing w:line="594" w:lineRule="exact"/>
        <w:ind w:firstLine="640" w:firstLineChars="200"/>
        <w:jc w:val="right"/>
        <w:rPr>
          <w:rFonts w:eastAsia="方正仿宋_GBK"/>
          <w:sz w:val="32"/>
          <w:szCs w:val="32"/>
        </w:rPr>
      </w:pPr>
      <w:r>
        <w:rPr>
          <w:rFonts w:eastAsia="方正仿宋_GBK"/>
          <w:sz w:val="32"/>
          <w:szCs w:val="32"/>
        </w:rPr>
        <w:t>2022年</w:t>
      </w:r>
      <w:r>
        <w:rPr>
          <w:rFonts w:hint="eastAsia" w:eastAsia="方正仿宋_GBK"/>
          <w:sz w:val="32"/>
          <w:szCs w:val="32"/>
        </w:rPr>
        <w:t>8</w:t>
      </w:r>
      <w:r>
        <w:rPr>
          <w:rFonts w:eastAsia="方正仿宋_GBK"/>
          <w:sz w:val="32"/>
          <w:szCs w:val="32"/>
        </w:rPr>
        <w:t>月</w:t>
      </w:r>
      <w:r>
        <w:rPr>
          <w:rFonts w:hint="eastAsia" w:eastAsia="方正仿宋_GBK"/>
          <w:sz w:val="32"/>
          <w:szCs w:val="32"/>
        </w:rPr>
        <w:t>12</w:t>
      </w:r>
      <w:r>
        <w:rPr>
          <w:rFonts w:eastAsia="方正仿宋_GBK"/>
          <w:sz w:val="32"/>
          <w:szCs w:val="32"/>
        </w:rPr>
        <w:t>日</w:t>
      </w:r>
      <w:r>
        <w:rPr>
          <w:rFonts w:hint="eastAsia" w:eastAsia="方正仿宋_GBK"/>
          <w:sz w:val="32"/>
          <w:szCs w:val="32"/>
        </w:rPr>
        <w:t xml:space="preserve">     </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snapToGrid w:val="0"/>
        <w:spacing w:line="594" w:lineRule="exact"/>
        <w:ind w:firstLine="640" w:firstLineChars="200"/>
        <w:rPr>
          <w:rFonts w:eastAsia="方正仿宋_GBK"/>
          <w:sz w:val="32"/>
          <w:szCs w:val="32"/>
        </w:rPr>
        <w:sectPr>
          <w:footerReference r:id="rId3" w:type="default"/>
          <w:pgSz w:w="11906" w:h="16838"/>
          <w:pgMar w:top="1984" w:right="1474" w:bottom="1417" w:left="1587" w:header="851" w:footer="992" w:gutter="0"/>
          <w:cols w:space="0" w:num="1"/>
          <w:docGrid w:type="lines" w:linePitch="316" w:charSpace="0"/>
        </w:sectPr>
      </w:pPr>
    </w:p>
    <w:p>
      <w:pPr>
        <w:spacing w:line="594" w:lineRule="exact"/>
        <w:jc w:val="center"/>
        <w:rPr>
          <w:rFonts w:eastAsia="方正小标宋_GBK"/>
          <w:sz w:val="44"/>
          <w:szCs w:val="44"/>
        </w:rPr>
      </w:pPr>
      <w:r>
        <w:rPr>
          <w:rFonts w:hint="eastAsia" w:eastAsia="方正小标宋_GBK"/>
          <w:sz w:val="44"/>
          <w:szCs w:val="44"/>
        </w:rPr>
        <w:t>大安街道政策性文件公开工作方案</w:t>
      </w:r>
    </w:p>
    <w:p>
      <w:pPr>
        <w:adjustRightInd w:val="0"/>
        <w:snapToGrid w:val="0"/>
        <w:spacing w:line="594" w:lineRule="exact"/>
        <w:rPr>
          <w:rFonts w:ascii="方正仿宋_GBK" w:hAnsi="方正仿宋_GBK" w:eastAsia="方正仿宋_GBK" w:cs="方正仿宋_GBK"/>
          <w:sz w:val="32"/>
          <w:szCs w:val="32"/>
        </w:rPr>
      </w:pPr>
    </w:p>
    <w:p>
      <w:pPr>
        <w:adjustRightInd w:val="0"/>
        <w:snapToGrid w:val="0"/>
        <w:spacing w:line="288"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为深入推行政务公开工作，着力营造公开透明的政务环境，维护人民群众的知情权、参与权、表达权和监督权，特制定本方案。</w:t>
      </w:r>
    </w:p>
    <w:p>
      <w:pPr>
        <w:adjustRightInd w:val="0"/>
        <w:snapToGrid w:val="0"/>
        <w:spacing w:line="288" w:lineRule="auto"/>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一、总体要求</w:t>
      </w:r>
    </w:p>
    <w:p>
      <w:pPr>
        <w:adjustRightInd w:val="0"/>
        <w:snapToGrid w:val="0"/>
        <w:spacing w:line="288"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深入贯彻落实区委区政府关于政务公开工作的部署和要求，切实强化对政务公开工作的组织领导，推进街道政务公开标准化、规范化，做到“应公开、尽公开”和及时、准确、全面、高效公开。</w:t>
      </w:r>
    </w:p>
    <w:p>
      <w:pPr>
        <w:adjustRightInd w:val="0"/>
        <w:snapToGrid w:val="0"/>
        <w:spacing w:line="288" w:lineRule="auto"/>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adjustRightInd w:val="0"/>
        <w:snapToGrid w:val="0"/>
        <w:spacing w:line="288" w:lineRule="auto"/>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（一）准确认定公开属性。</w:t>
      </w:r>
      <w:r>
        <w:rPr>
          <w:rFonts w:hint="eastAsia" w:ascii="方正仿宋_GBK" w:hAnsi="方正仿宋_GBK" w:eastAsia="方正仿宋_GBK" w:cs="方正仿宋_GBK"/>
          <w:sz w:val="32"/>
          <w:szCs w:val="32"/>
        </w:rPr>
        <w:t>以街道办事处名义印发的所有下行文和除议案以外的平行文，起草部门（多个部门共同起草的，由牵头起草部门负责、其他部门配合）要明确“主动公开”或者“不予公开”属性，并在文件附注位置准确标注“此件公开发布”或者“此件不公开”。涉及公众利益调整、需要公众广泛知晓或需要公众参与决策的（见附</w:t>
      </w:r>
      <w:r>
        <w:rPr>
          <w:rFonts w:eastAsia="方正仿宋_GBK"/>
          <w:sz w:val="32"/>
          <w:szCs w:val="32"/>
        </w:rPr>
        <w:t>件1</w:t>
      </w:r>
      <w:r>
        <w:rPr>
          <w:rFonts w:hint="eastAsia" w:ascii="方正仿宋_GBK" w:hAnsi="方正仿宋_GBK" w:eastAsia="方正仿宋_GBK" w:cs="方正仿宋_GBK"/>
          <w:sz w:val="32"/>
          <w:szCs w:val="32"/>
        </w:rPr>
        <w:t>），必须认定为“主动公开”；符合《政府信息公开条例》规定的豁免公开情形的（见附</w:t>
      </w:r>
      <w:r>
        <w:rPr>
          <w:rFonts w:eastAsia="方正仿宋_GBK"/>
          <w:sz w:val="32"/>
          <w:szCs w:val="32"/>
        </w:rPr>
        <w:t>件2）</w:t>
      </w:r>
      <w:r>
        <w:rPr>
          <w:rFonts w:hint="eastAsia" w:ascii="方正仿宋_GBK" w:hAnsi="方正仿宋_GBK" w:eastAsia="方正仿宋_GBK" w:cs="方正仿宋_GBK"/>
          <w:sz w:val="32"/>
          <w:szCs w:val="32"/>
        </w:rPr>
        <w:t>，可以认定为“不予公开”；一般不得认定为“依申请公开”。认定为“主动公开”的，起草部门要从政治、法律、政策、保密、文字、公开时机等方面进行严格审核把关，确保内容表述准确、公开时机得当。</w:t>
      </w:r>
    </w:p>
    <w:p>
      <w:pPr>
        <w:adjustRightInd w:val="0"/>
        <w:snapToGrid w:val="0"/>
        <w:spacing w:line="288" w:lineRule="auto"/>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（二）广泛征求公众意见。</w:t>
      </w:r>
      <w:r>
        <w:rPr>
          <w:rFonts w:hint="eastAsia" w:ascii="方正仿宋_GBK" w:hAnsi="方正仿宋_GBK" w:eastAsia="方正仿宋_GBK" w:cs="方正仿宋_GBK"/>
          <w:sz w:val="32"/>
          <w:szCs w:val="32"/>
        </w:rPr>
        <w:t>除依法应当保密的外，街道办事处行政规范性文件草案，应当通过政府网站、政务公开专区、政务新媒体等便于社会公众知晓的途径，广泛征求社会公众意见；街道办事处重大行政决策应当采取座谈会、听证会、实地走访、书面征求意见、向社会公开征求意见、问卷调查、民意调查等便于社会公众参与的方式充分听取意见。</w:t>
      </w:r>
    </w:p>
    <w:p>
      <w:pPr>
        <w:adjustRightInd w:val="0"/>
        <w:snapToGrid w:val="0"/>
        <w:spacing w:line="288" w:lineRule="auto"/>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（三）规范开展信息发布。</w:t>
      </w:r>
      <w:r>
        <w:rPr>
          <w:rFonts w:hint="eastAsia" w:ascii="方正仿宋_GBK" w:hAnsi="方正仿宋_GBK" w:eastAsia="方正仿宋_GBK" w:cs="方正仿宋_GBK"/>
          <w:sz w:val="32"/>
          <w:szCs w:val="32"/>
        </w:rPr>
        <w:t>认定为“主动公开”的街道办事处政策性文件，应在成文日期之</w:t>
      </w:r>
      <w:r>
        <w:rPr>
          <w:rFonts w:eastAsia="方正仿宋_GBK"/>
          <w:sz w:val="32"/>
          <w:szCs w:val="32"/>
        </w:rPr>
        <w:t>后20个工作日</w:t>
      </w:r>
      <w:r>
        <w:rPr>
          <w:rFonts w:hint="eastAsia" w:ascii="方正仿宋_GBK" w:hAnsi="方正仿宋_GBK" w:eastAsia="方正仿宋_GBK" w:cs="方正仿宋_GBK"/>
          <w:sz w:val="32"/>
          <w:szCs w:val="32"/>
        </w:rPr>
        <w:t>内公开发布。政府网站发布政策性文件时，应当标题规范、内容完整，注明成文日期、发布日期、有效性等基础信息，并提供在线浏览和下载链接。</w:t>
      </w:r>
    </w:p>
    <w:p>
      <w:pPr>
        <w:adjustRightInd w:val="0"/>
        <w:snapToGrid w:val="0"/>
        <w:spacing w:line="288" w:lineRule="auto"/>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（四）严格落实工作责任。</w:t>
      </w:r>
      <w:r>
        <w:rPr>
          <w:rFonts w:hint="eastAsia" w:ascii="方正仿宋_GBK" w:hAnsi="方正仿宋_GBK" w:eastAsia="方正仿宋_GBK" w:cs="方正仿宋_GBK"/>
          <w:sz w:val="32"/>
          <w:szCs w:val="32"/>
        </w:rPr>
        <w:t>各起草部门要进一步优化工作流程，压实工作责任。起草街道办事处政策性文件时，要认真做好公开属性认定等工作，切实把好“出口关”。街道办事处政策性文件公开发布后，要认真做好转载推广、舆情监测、关切回应等工作，确保政策落地见效。</w:t>
      </w:r>
    </w:p>
    <w:p>
      <w:pPr>
        <w:adjustRightInd w:val="0"/>
        <w:snapToGrid w:val="0"/>
        <w:spacing w:line="288" w:lineRule="auto"/>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adjustRightInd w:val="0"/>
        <w:snapToGrid w:val="0"/>
        <w:spacing w:line="288"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党政办公室将按季度对街道办事处政策性文件的公开属性认定等有关工作进行检查，发现不标注公开属性、标注“此件不公开”但未说明理由或者理由不充分、公开发布不规范等情况的，将对起草部门进行通报批评。</w:t>
      </w:r>
    </w:p>
    <w:p>
      <w:pPr>
        <w:adjustRightInd w:val="0"/>
        <w:snapToGrid w:val="0"/>
        <w:spacing w:line="288" w:lineRule="auto"/>
        <w:ind w:firstLine="640" w:firstLineChars="200"/>
        <w:rPr>
          <w:rFonts w:ascii="方正仿宋_GBK" w:hAnsi="方正仿宋_GBK" w:eastAsia="方正仿宋_GBK" w:cs="方正仿宋_GBK"/>
          <w:sz w:val="32"/>
          <w:szCs w:val="32"/>
        </w:rPr>
      </w:pPr>
    </w:p>
    <w:p>
      <w:pPr>
        <w:adjustRightInd w:val="0"/>
        <w:snapToGrid w:val="0"/>
        <w:spacing w:line="288" w:lineRule="auto"/>
        <w:ind w:firstLine="640" w:firstLineChars="200"/>
        <w:rPr>
          <w:rFonts w:eastAsia="方正仿宋_GBK"/>
          <w:sz w:val="32"/>
          <w:szCs w:val="32"/>
        </w:rPr>
      </w:pPr>
      <w:r>
        <w:rPr>
          <w:rFonts w:eastAsia="方正仿宋_GBK"/>
          <w:sz w:val="32"/>
          <w:szCs w:val="32"/>
        </w:rPr>
        <w:t>附件：1．法定主动公开情形</w:t>
      </w:r>
    </w:p>
    <w:p>
      <w:pPr>
        <w:adjustRightInd w:val="0"/>
        <w:snapToGrid w:val="0"/>
        <w:spacing w:line="288" w:lineRule="auto"/>
        <w:ind w:firstLine="1600" w:firstLineChars="500"/>
        <w:rPr>
          <w:rFonts w:eastAsia="方正仿宋_GBK"/>
          <w:sz w:val="32"/>
          <w:szCs w:val="32"/>
        </w:rPr>
      </w:pPr>
      <w:r>
        <w:rPr>
          <w:rFonts w:eastAsia="方正仿宋_GBK"/>
          <w:sz w:val="32"/>
          <w:szCs w:val="32"/>
        </w:rPr>
        <w:t>2．法定豁免公开情形</w:t>
      </w:r>
    </w:p>
    <w:p>
      <w:pPr>
        <w:adjustRightInd w:val="0"/>
        <w:snapToGrid w:val="0"/>
        <w:spacing w:line="288" w:lineRule="auto"/>
        <w:ind w:firstLine="1600" w:firstLineChars="500"/>
        <w:rPr>
          <w:rFonts w:eastAsia="方正仿宋_GBK"/>
          <w:sz w:val="32"/>
          <w:szCs w:val="32"/>
        </w:rPr>
      </w:pPr>
      <w:r>
        <w:rPr>
          <w:rFonts w:eastAsia="方正仿宋_GBK"/>
          <w:sz w:val="32"/>
          <w:szCs w:val="32"/>
        </w:rPr>
        <w:t>3．重庆市永川区大安街道各领域基层政务公开目录</w:t>
      </w:r>
    </w:p>
    <w:p>
      <w:pPr>
        <w:rPr>
          <w:rFonts w:hint="eastAsia" w:eastAsia="方正黑体_GBK" w:cs="方正黑体_GBK"/>
          <w:sz w:val="32"/>
          <w:szCs w:val="32"/>
        </w:rPr>
      </w:pPr>
      <w:r>
        <w:rPr>
          <w:rFonts w:hint="eastAsia" w:eastAsia="方正黑体_GBK" w:cs="方正黑体_GBK"/>
          <w:sz w:val="32"/>
          <w:szCs w:val="32"/>
        </w:rPr>
        <w:br w:type="page"/>
      </w:r>
    </w:p>
    <w:p>
      <w:pPr>
        <w:adjustRightInd w:val="0"/>
        <w:spacing w:line="594" w:lineRule="exact"/>
        <w:rPr>
          <w:rFonts w:eastAsia="方正黑体_GBK" w:cs="方正黑体_GBK"/>
          <w:sz w:val="32"/>
          <w:szCs w:val="32"/>
        </w:rPr>
      </w:pPr>
      <w:r>
        <w:rPr>
          <w:rFonts w:hint="eastAsia" w:eastAsia="方正黑体_GBK" w:cs="方正黑体_GBK"/>
          <w:sz w:val="32"/>
          <w:szCs w:val="32"/>
        </w:rPr>
        <w:t>附件1</w:t>
      </w:r>
    </w:p>
    <w:p>
      <w:pPr>
        <w:adjustRightInd w:val="0"/>
        <w:spacing w:line="594" w:lineRule="exact"/>
        <w:jc w:val="center"/>
        <w:rPr>
          <w:rFonts w:eastAsia="方正小标宋_GBK" w:cs="方正小标宋_GBK"/>
          <w:sz w:val="44"/>
          <w:szCs w:val="44"/>
        </w:rPr>
      </w:pPr>
      <w:r>
        <w:rPr>
          <w:rFonts w:hint="eastAsia" w:eastAsia="方正小标宋_GBK" w:cs="方正小标宋_GBK"/>
          <w:sz w:val="44"/>
          <w:szCs w:val="44"/>
        </w:rPr>
        <w:t>法定主动公开情形</w:t>
      </w:r>
    </w:p>
    <w:p>
      <w:pPr>
        <w:adjustRightInd w:val="0"/>
        <w:snapToGrid w:val="0"/>
        <w:spacing w:line="594" w:lineRule="exact"/>
        <w:ind w:firstLine="640" w:firstLineChars="200"/>
        <w:rPr>
          <w:rFonts w:ascii="方正仿宋_GBK" w:hAnsi="方正仿宋_GBK" w:eastAsia="方正仿宋_GBK" w:cs="方正仿宋_GBK"/>
          <w:sz w:val="32"/>
          <w:szCs w:val="32"/>
        </w:rPr>
      </w:pPr>
    </w:p>
    <w:p>
      <w:pPr>
        <w:adjustRightInd w:val="0"/>
        <w:snapToGrid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一、一般性原则</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对涉及公众利益调整、需要公众广泛知晓或者需要公众参与决策的政府信息，应当主动公开。</w:t>
      </w:r>
    </w:p>
    <w:p>
      <w:pPr>
        <w:adjustRightInd w:val="0"/>
        <w:snapToGrid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二、具体情形</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（一）街道办事处行政规范性文件；</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（二）机关职能、机构设置、办公地址、办公时间、联系方式、负责人姓名；</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（三）国民经济和社会发展规划、专项规划、区域规划及相关政策；</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（四）国民经济和社会发展统计信息；</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（五）办理行政许可和其他对外管理服务事项的依据、条件、程序以及办理结果；</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（六）实施行政处罚、行政强制的依据、条件、程序以及本行政机关认为具有一定社会影响的行政处罚决定；</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（七）财政预算、决算信息；</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（八）行政事业性收费项目及其依据、标准；</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（九）政府集中采购项目的目录、标准及实施情况；</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（十）重大建设项目的批准和实施情况；</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（十一）扶贫、教育、医疗、社会保障、促进就业等方面的政策、措施及其实施情况；</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（十二）突发公共事件的应急预案、预警信息及应对情况；</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（十三）环境保护、公共卫生、安全生产、食品药品、产品质量的监督检查情况；</w:t>
      </w:r>
    </w:p>
    <w:p>
      <w:pPr>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（十四）公务员招考的职位、名额、报考条件等事项以及录用结果。</w:t>
      </w:r>
    </w:p>
    <w:p>
      <w:pPr>
        <w:adjustRightInd w:val="0"/>
        <w:snapToGrid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三、兜底性规定</w:t>
      </w:r>
    </w:p>
    <w:p>
      <w:pPr>
        <w:adjustRightInd w:val="0"/>
        <w:snapToGrid w:val="0"/>
        <w:spacing w:line="594" w:lineRule="exact"/>
        <w:ind w:firstLine="640" w:firstLineChars="200"/>
        <w:rPr>
          <w:rFonts w:eastAsia="方正仿宋_GBK"/>
          <w:sz w:val="32"/>
          <w:szCs w:val="32"/>
        </w:rPr>
      </w:pPr>
      <w:r>
        <w:rPr>
          <w:rFonts w:eastAsia="方正仿宋_GBK"/>
          <w:sz w:val="32"/>
          <w:szCs w:val="32"/>
        </w:rPr>
        <w:t>法律、法规、规章和国家有关</w:t>
      </w:r>
      <w:r>
        <w:rPr>
          <w:rFonts w:hint="eastAsia" w:eastAsia="方正仿宋_GBK"/>
          <w:sz w:val="32"/>
          <w:szCs w:val="32"/>
          <w:lang w:eastAsia="zh-CN"/>
        </w:rPr>
        <w:t>规定</w:t>
      </w:r>
      <w:r>
        <w:rPr>
          <w:rFonts w:eastAsia="方正仿宋_GBK"/>
          <w:sz w:val="32"/>
          <w:szCs w:val="32"/>
        </w:rPr>
        <w:t>应当主动公开的其他政府信息。例如：《国务院办公厅关于印发2018年政务公开工作要点的通知》（国办发〔2018〕23号）规定</w:t>
      </w:r>
      <w:r>
        <w:rPr>
          <w:rFonts w:hint="eastAsia" w:ascii="方正仿宋_GBK" w:hAnsi="方正仿宋_GBK" w:eastAsia="方正仿宋_GBK" w:cs="方正仿宋_GBK"/>
          <w:sz w:val="32"/>
          <w:szCs w:val="32"/>
        </w:rPr>
        <w:t>“</w:t>
      </w:r>
      <w:r>
        <w:rPr>
          <w:rFonts w:eastAsia="方正仿宋_GBK"/>
          <w:sz w:val="32"/>
          <w:szCs w:val="32"/>
        </w:rPr>
        <w:t>重大会议信</w:t>
      </w:r>
      <w:r>
        <w:rPr>
          <w:rFonts w:ascii="方正仿宋_GBK" w:hAnsi="方正仿宋_GBK" w:eastAsia="方正仿宋_GBK" w:cs="方正仿宋_GBK"/>
          <w:sz w:val="32"/>
          <w:szCs w:val="32"/>
        </w:rPr>
        <w:t>息”应</w:t>
      </w:r>
      <w:r>
        <w:rPr>
          <w:rFonts w:eastAsia="方正仿宋_GBK"/>
          <w:sz w:val="32"/>
          <w:szCs w:val="32"/>
        </w:rPr>
        <w:t>当公开，《国务院办公厅关于印发2017年政务公开工作要点的通知》（国办发〔2017〕24号）规定</w:t>
      </w:r>
      <w:r>
        <w:rPr>
          <w:rFonts w:ascii="方正仿宋_GBK" w:hAnsi="方正仿宋_GBK" w:eastAsia="方正仿宋_GBK" w:cs="方正仿宋_GBK"/>
          <w:sz w:val="32"/>
          <w:szCs w:val="32"/>
        </w:rPr>
        <w:t>“人大代表建议和政协委员提案复函”应</w:t>
      </w:r>
      <w:r>
        <w:rPr>
          <w:rFonts w:eastAsia="方正仿宋_GBK"/>
          <w:sz w:val="32"/>
          <w:szCs w:val="32"/>
        </w:rPr>
        <w:t>当公开，《国务院办公厅关于印发2016年政务公开工作要点的通知》（国办发〔2016〕19号）规定</w:t>
      </w:r>
      <w:r>
        <w:rPr>
          <w:rFonts w:hint="eastAsia" w:ascii="方正仿宋_GBK" w:hAnsi="方正仿宋_GBK" w:eastAsia="方正仿宋_GBK" w:cs="方正仿宋_GBK"/>
          <w:sz w:val="32"/>
          <w:szCs w:val="32"/>
        </w:rPr>
        <w:t>“</w:t>
      </w:r>
      <w:r>
        <w:rPr>
          <w:rFonts w:eastAsia="方正仿宋_GBK"/>
          <w:sz w:val="32"/>
          <w:szCs w:val="32"/>
        </w:rPr>
        <w:t>政府工作报告及其执行情</w:t>
      </w:r>
      <w:r>
        <w:rPr>
          <w:rFonts w:ascii="方正仿宋_GBK" w:hAnsi="方正仿宋_GBK" w:eastAsia="方正仿宋_GBK" w:cs="方正仿宋_GBK"/>
          <w:sz w:val="32"/>
          <w:szCs w:val="32"/>
        </w:rPr>
        <w:t>况”应</w:t>
      </w:r>
      <w:r>
        <w:rPr>
          <w:rFonts w:eastAsia="方正仿宋_GBK"/>
          <w:sz w:val="32"/>
          <w:szCs w:val="32"/>
        </w:rPr>
        <w:t>当公开。</w:t>
      </w:r>
    </w:p>
    <w:p>
      <w:pPr>
        <w:adjustRightInd w:val="0"/>
        <w:snapToGrid w:val="0"/>
        <w:spacing w:line="288" w:lineRule="auto"/>
        <w:rPr>
          <w:rFonts w:eastAsia="方正黑体_GBK" w:cs="方正黑体_GBK"/>
          <w:kern w:val="0"/>
          <w:sz w:val="32"/>
          <w:szCs w:val="32"/>
        </w:rPr>
      </w:pPr>
      <w:r>
        <w:rPr>
          <w:rFonts w:hint="eastAsia"/>
        </w:rPr>
        <w:br w:type="page"/>
      </w:r>
      <w:r>
        <w:rPr>
          <w:rFonts w:hint="eastAsia" w:eastAsia="方正黑体_GBK" w:cs="方正黑体_GBK"/>
          <w:kern w:val="0"/>
          <w:sz w:val="32"/>
          <w:szCs w:val="32"/>
        </w:rPr>
        <w:t>附件2</w:t>
      </w:r>
    </w:p>
    <w:p>
      <w:pPr>
        <w:adjustRightInd w:val="0"/>
        <w:snapToGrid w:val="0"/>
        <w:rPr>
          <w:rFonts w:eastAsia="方正书宋_GBK" w:cs="方正书宋_GBK"/>
          <w:kern w:val="0"/>
          <w:sz w:val="32"/>
          <w:szCs w:val="32"/>
        </w:rPr>
      </w:pPr>
    </w:p>
    <w:p>
      <w:pPr>
        <w:adjustRightInd w:val="0"/>
        <w:snapToGrid w:val="0"/>
        <w:jc w:val="center"/>
        <w:rPr>
          <w:rFonts w:eastAsia="方正小标宋_GBK" w:cs="方正小标宋_GBK"/>
          <w:kern w:val="0"/>
          <w:sz w:val="44"/>
          <w:szCs w:val="44"/>
        </w:rPr>
      </w:pPr>
      <w:r>
        <w:rPr>
          <w:rFonts w:hint="eastAsia" w:eastAsia="方正小标宋_GBK" w:cs="方正小标宋_GBK"/>
          <w:kern w:val="0"/>
          <w:sz w:val="44"/>
          <w:szCs w:val="44"/>
        </w:rPr>
        <w:t>法定豁免公开情形</w:t>
      </w:r>
    </w:p>
    <w:p>
      <w:pPr>
        <w:adjustRightInd w:val="0"/>
        <w:snapToGrid w:val="0"/>
        <w:rPr>
          <w:rFonts w:eastAsia="方正书宋_GBK" w:cs="方正书宋_GBK"/>
          <w:kern w:val="0"/>
          <w:sz w:val="32"/>
          <w:szCs w:val="32"/>
        </w:rPr>
      </w:pPr>
    </w:p>
    <w:tbl>
      <w:tblPr>
        <w:tblStyle w:val="8"/>
        <w:tblW w:w="9197"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79" w:type="dxa"/>
          <w:bottom w:w="57" w:type="dxa"/>
          <w:right w:w="79" w:type="dxa"/>
        </w:tblCellMar>
      </w:tblPr>
      <w:tblGrid>
        <w:gridCol w:w="898"/>
        <w:gridCol w:w="1778"/>
        <w:gridCol w:w="1633"/>
        <w:gridCol w:w="3011"/>
        <w:gridCol w:w="1877"/>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79" w:type="dxa"/>
            <w:bottom w:w="57" w:type="dxa"/>
            <w:right w:w="79" w:type="dxa"/>
          </w:tblCellMar>
        </w:tblPrEx>
        <w:trPr>
          <w:trHeight w:val="454" w:hRule="atLeast"/>
          <w:tblHeader/>
          <w:jc w:val="center"/>
        </w:trPr>
        <w:tc>
          <w:tcPr>
            <w:tcW w:w="898" w:type="dxa"/>
            <w:noWrap/>
            <w:vAlign w:val="center"/>
          </w:tcPr>
          <w:p>
            <w:pPr>
              <w:adjustRightInd w:val="0"/>
              <w:snapToGrid w:val="0"/>
              <w:jc w:val="center"/>
              <w:rPr>
                <w:rFonts w:eastAsia="方正黑体_GBK" w:cs="方正黑体_GBK"/>
                <w:kern w:val="0"/>
                <w:sz w:val="24"/>
              </w:rPr>
            </w:pPr>
            <w:r>
              <w:rPr>
                <w:rFonts w:hint="eastAsia" w:eastAsia="方正黑体_GBK" w:cs="方正黑体_GBK"/>
                <w:kern w:val="0"/>
                <w:sz w:val="24"/>
              </w:rPr>
              <w:t>序号</w:t>
            </w:r>
          </w:p>
        </w:tc>
        <w:tc>
          <w:tcPr>
            <w:tcW w:w="1778" w:type="dxa"/>
            <w:noWrap/>
            <w:vAlign w:val="center"/>
          </w:tcPr>
          <w:p>
            <w:pPr>
              <w:adjustRightInd w:val="0"/>
              <w:snapToGrid w:val="0"/>
              <w:jc w:val="center"/>
              <w:rPr>
                <w:rFonts w:eastAsia="方正黑体_GBK" w:cs="方正黑体_GBK"/>
                <w:kern w:val="0"/>
                <w:sz w:val="24"/>
              </w:rPr>
            </w:pPr>
            <w:r>
              <w:rPr>
                <w:rFonts w:hint="eastAsia" w:eastAsia="方正黑体_GBK" w:cs="方正黑体_GBK"/>
                <w:kern w:val="0"/>
                <w:sz w:val="24"/>
              </w:rPr>
              <w:t>豁免公开情形</w:t>
            </w:r>
          </w:p>
        </w:tc>
        <w:tc>
          <w:tcPr>
            <w:tcW w:w="1633" w:type="dxa"/>
            <w:noWrap/>
            <w:vAlign w:val="center"/>
          </w:tcPr>
          <w:p>
            <w:pPr>
              <w:adjustRightInd w:val="0"/>
              <w:snapToGrid w:val="0"/>
              <w:jc w:val="center"/>
              <w:rPr>
                <w:rFonts w:eastAsia="方正黑体_GBK" w:cs="方正黑体_GBK"/>
                <w:kern w:val="0"/>
                <w:sz w:val="24"/>
              </w:rPr>
            </w:pPr>
            <w:r>
              <w:rPr>
                <w:rFonts w:hint="eastAsia" w:eastAsia="方正黑体_GBK" w:cs="方正黑体_GBK"/>
                <w:kern w:val="0"/>
                <w:sz w:val="24"/>
              </w:rPr>
              <w:t>豁免公开性质</w:t>
            </w:r>
          </w:p>
        </w:tc>
        <w:tc>
          <w:tcPr>
            <w:tcW w:w="3011" w:type="dxa"/>
            <w:noWrap/>
            <w:vAlign w:val="center"/>
          </w:tcPr>
          <w:p>
            <w:pPr>
              <w:adjustRightInd w:val="0"/>
              <w:snapToGrid w:val="0"/>
              <w:jc w:val="center"/>
              <w:rPr>
                <w:rFonts w:eastAsia="方正黑体_GBK" w:cs="方正黑体_GBK"/>
                <w:kern w:val="0"/>
                <w:sz w:val="24"/>
              </w:rPr>
            </w:pPr>
            <w:r>
              <w:rPr>
                <w:rFonts w:hint="eastAsia" w:eastAsia="方正黑体_GBK" w:cs="方正黑体_GBK"/>
                <w:kern w:val="0"/>
                <w:sz w:val="24"/>
              </w:rPr>
              <w:t>认定理由</w:t>
            </w:r>
          </w:p>
        </w:tc>
        <w:tc>
          <w:tcPr>
            <w:tcW w:w="1877" w:type="dxa"/>
            <w:noWrap/>
            <w:vAlign w:val="center"/>
          </w:tcPr>
          <w:p>
            <w:pPr>
              <w:adjustRightInd w:val="0"/>
              <w:snapToGrid w:val="0"/>
              <w:jc w:val="center"/>
              <w:rPr>
                <w:rFonts w:eastAsia="方正黑体_GBK" w:cs="方正黑体_GBK"/>
                <w:kern w:val="0"/>
                <w:sz w:val="24"/>
              </w:rPr>
            </w:pPr>
            <w:r>
              <w:rPr>
                <w:rFonts w:hint="eastAsia" w:eastAsia="方正黑体_GBK" w:cs="方正黑体_GBK"/>
                <w:kern w:val="0"/>
                <w:sz w:val="24"/>
              </w:rPr>
              <w:t>备注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79" w:type="dxa"/>
            <w:bottom w:w="57" w:type="dxa"/>
            <w:right w:w="79" w:type="dxa"/>
          </w:tblCellMar>
        </w:tblPrEx>
        <w:trPr>
          <w:trHeight w:val="454" w:hRule="atLeast"/>
          <w:jc w:val="center"/>
        </w:trPr>
        <w:tc>
          <w:tcPr>
            <w:tcW w:w="898" w:type="dxa"/>
            <w:noWrap/>
            <w:vAlign w:val="center"/>
          </w:tcPr>
          <w:p>
            <w:pPr>
              <w:adjustRightInd w:val="0"/>
              <w:snapToGrid w:val="0"/>
              <w:jc w:val="center"/>
              <w:rPr>
                <w:rFonts w:eastAsia="方正书宋_GBK" w:cs="方正书宋_GBK"/>
                <w:kern w:val="0"/>
                <w:sz w:val="24"/>
              </w:rPr>
            </w:pPr>
            <w:r>
              <w:rPr>
                <w:rFonts w:hint="eastAsia" w:eastAsia="方正书宋_GBK" w:cs="方正书宋_GBK"/>
                <w:kern w:val="0"/>
                <w:sz w:val="24"/>
              </w:rPr>
              <w:t>1</w:t>
            </w:r>
          </w:p>
        </w:tc>
        <w:tc>
          <w:tcPr>
            <w:tcW w:w="1778"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国家秘密</w:t>
            </w:r>
          </w:p>
        </w:tc>
        <w:tc>
          <w:tcPr>
            <w:tcW w:w="1633"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不予公开</w:t>
            </w:r>
          </w:p>
        </w:tc>
        <w:tc>
          <w:tcPr>
            <w:tcW w:w="3011" w:type="dxa"/>
            <w:noWrap/>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依法启动定密程序，不再标注公开属性。</w:t>
            </w:r>
          </w:p>
        </w:tc>
        <w:tc>
          <w:tcPr>
            <w:tcW w:w="1877" w:type="dxa"/>
            <w:noWrap/>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未依法履行定密手续的，不得以“国家秘密”作为不予公开的理由。</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79" w:type="dxa"/>
            <w:bottom w:w="57" w:type="dxa"/>
            <w:right w:w="79" w:type="dxa"/>
          </w:tblCellMar>
        </w:tblPrEx>
        <w:trPr>
          <w:trHeight w:val="454" w:hRule="atLeast"/>
          <w:jc w:val="center"/>
        </w:trPr>
        <w:tc>
          <w:tcPr>
            <w:tcW w:w="898" w:type="dxa"/>
            <w:noWrap/>
            <w:vAlign w:val="center"/>
          </w:tcPr>
          <w:p>
            <w:pPr>
              <w:adjustRightInd w:val="0"/>
              <w:snapToGrid w:val="0"/>
              <w:jc w:val="center"/>
              <w:rPr>
                <w:rFonts w:eastAsia="方正书宋_GBK" w:cs="方正书宋_GBK"/>
                <w:kern w:val="0"/>
                <w:sz w:val="24"/>
              </w:rPr>
            </w:pPr>
            <w:r>
              <w:rPr>
                <w:rFonts w:hint="eastAsia" w:eastAsia="方正书宋_GBK" w:cs="方正书宋_GBK"/>
                <w:kern w:val="0"/>
                <w:sz w:val="24"/>
              </w:rPr>
              <w:t>2</w:t>
            </w:r>
          </w:p>
        </w:tc>
        <w:tc>
          <w:tcPr>
            <w:tcW w:w="1778"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法律、行政法规禁止公开</w:t>
            </w:r>
          </w:p>
        </w:tc>
        <w:tc>
          <w:tcPr>
            <w:tcW w:w="1633"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不予公开</w:t>
            </w:r>
          </w:p>
        </w:tc>
        <w:tc>
          <w:tcPr>
            <w:tcW w:w="3011" w:type="dxa"/>
            <w:noWrap/>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说明所依据的法律、行政法规名称及具体条目。如：《**法》第*条规定“**不得对外公开”。</w:t>
            </w:r>
          </w:p>
        </w:tc>
        <w:tc>
          <w:tcPr>
            <w:tcW w:w="1877" w:type="dxa"/>
            <w:noWrap/>
            <w:vAlign w:val="center"/>
          </w:tcPr>
          <w:p>
            <w:pPr>
              <w:adjustRightInd w:val="0"/>
              <w:snapToGrid w:val="0"/>
              <w:jc w:val="left"/>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79" w:type="dxa"/>
            <w:bottom w:w="57" w:type="dxa"/>
            <w:right w:w="79" w:type="dxa"/>
          </w:tblCellMar>
        </w:tblPrEx>
        <w:trPr>
          <w:trHeight w:val="454" w:hRule="atLeast"/>
          <w:jc w:val="center"/>
        </w:trPr>
        <w:tc>
          <w:tcPr>
            <w:tcW w:w="898" w:type="dxa"/>
            <w:noWrap/>
            <w:vAlign w:val="center"/>
          </w:tcPr>
          <w:p>
            <w:pPr>
              <w:adjustRightInd w:val="0"/>
              <w:snapToGrid w:val="0"/>
              <w:jc w:val="center"/>
              <w:rPr>
                <w:rFonts w:eastAsia="方正书宋_GBK" w:cs="方正书宋_GBK"/>
                <w:kern w:val="0"/>
                <w:sz w:val="24"/>
              </w:rPr>
            </w:pPr>
            <w:r>
              <w:rPr>
                <w:rFonts w:hint="eastAsia" w:eastAsia="方正书宋_GBK" w:cs="方正书宋_GBK"/>
                <w:kern w:val="0"/>
                <w:sz w:val="24"/>
              </w:rPr>
              <w:t>3</w:t>
            </w:r>
          </w:p>
        </w:tc>
        <w:tc>
          <w:tcPr>
            <w:tcW w:w="1778"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危及“三安全一稳定”</w:t>
            </w:r>
          </w:p>
        </w:tc>
        <w:tc>
          <w:tcPr>
            <w:tcW w:w="1633"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不予公开</w:t>
            </w:r>
          </w:p>
        </w:tc>
        <w:tc>
          <w:tcPr>
            <w:tcW w:w="3011" w:type="dxa"/>
            <w:noWrap/>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提供信访部门出具的社会稳定风险评估备案函。</w:t>
            </w:r>
          </w:p>
        </w:tc>
        <w:tc>
          <w:tcPr>
            <w:tcW w:w="1877" w:type="dxa"/>
            <w:noWrap/>
            <w:vAlign w:val="center"/>
          </w:tcPr>
          <w:p>
            <w:pPr>
              <w:adjustRightInd w:val="0"/>
              <w:snapToGrid w:val="0"/>
              <w:jc w:val="left"/>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79" w:type="dxa"/>
            <w:bottom w:w="57" w:type="dxa"/>
            <w:right w:w="79" w:type="dxa"/>
          </w:tblCellMar>
        </w:tblPrEx>
        <w:trPr>
          <w:trHeight w:val="454" w:hRule="atLeast"/>
          <w:jc w:val="center"/>
        </w:trPr>
        <w:tc>
          <w:tcPr>
            <w:tcW w:w="898" w:type="dxa"/>
            <w:noWrap/>
            <w:vAlign w:val="center"/>
          </w:tcPr>
          <w:p>
            <w:pPr>
              <w:adjustRightInd w:val="0"/>
              <w:snapToGrid w:val="0"/>
              <w:jc w:val="center"/>
              <w:rPr>
                <w:rFonts w:eastAsia="方正书宋_GBK" w:cs="方正书宋_GBK"/>
                <w:kern w:val="0"/>
                <w:sz w:val="24"/>
              </w:rPr>
            </w:pPr>
            <w:r>
              <w:rPr>
                <w:rFonts w:hint="eastAsia" w:eastAsia="方正书宋_GBK" w:cs="方正书宋_GBK"/>
                <w:kern w:val="0"/>
                <w:sz w:val="24"/>
              </w:rPr>
              <w:t>4</w:t>
            </w:r>
          </w:p>
        </w:tc>
        <w:tc>
          <w:tcPr>
            <w:tcW w:w="1778"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涉及商业秘密、个人隐私</w:t>
            </w:r>
          </w:p>
        </w:tc>
        <w:tc>
          <w:tcPr>
            <w:tcW w:w="1633"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不得公开</w:t>
            </w:r>
          </w:p>
        </w:tc>
        <w:tc>
          <w:tcPr>
            <w:tcW w:w="3011" w:type="dxa"/>
            <w:noWrap/>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围绕“公开后会对第三方合法权益造成损害”进行合理说明。</w:t>
            </w:r>
          </w:p>
        </w:tc>
        <w:tc>
          <w:tcPr>
            <w:tcW w:w="1877" w:type="dxa"/>
            <w:noWrap/>
            <w:vAlign w:val="center"/>
          </w:tcPr>
          <w:p>
            <w:pPr>
              <w:adjustRightInd w:val="0"/>
              <w:snapToGrid w:val="0"/>
              <w:jc w:val="left"/>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79" w:type="dxa"/>
            <w:bottom w:w="57" w:type="dxa"/>
            <w:right w:w="79" w:type="dxa"/>
          </w:tblCellMar>
        </w:tblPrEx>
        <w:trPr>
          <w:trHeight w:val="454" w:hRule="atLeast"/>
          <w:jc w:val="center"/>
        </w:trPr>
        <w:tc>
          <w:tcPr>
            <w:tcW w:w="898" w:type="dxa"/>
            <w:noWrap/>
            <w:vAlign w:val="center"/>
          </w:tcPr>
          <w:p>
            <w:pPr>
              <w:adjustRightInd w:val="0"/>
              <w:snapToGrid w:val="0"/>
              <w:jc w:val="center"/>
              <w:rPr>
                <w:rFonts w:eastAsia="方正书宋_GBK" w:cs="方正书宋_GBK"/>
                <w:kern w:val="0"/>
                <w:sz w:val="24"/>
              </w:rPr>
            </w:pPr>
            <w:r>
              <w:rPr>
                <w:rFonts w:hint="eastAsia" w:eastAsia="方正书宋_GBK" w:cs="方正书宋_GBK"/>
                <w:kern w:val="0"/>
                <w:sz w:val="24"/>
              </w:rPr>
              <w:t>5</w:t>
            </w:r>
          </w:p>
        </w:tc>
        <w:tc>
          <w:tcPr>
            <w:tcW w:w="1778"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行政机关内部事务信息</w:t>
            </w:r>
          </w:p>
        </w:tc>
        <w:tc>
          <w:tcPr>
            <w:tcW w:w="1633"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可以不予公开</w:t>
            </w:r>
          </w:p>
        </w:tc>
        <w:tc>
          <w:tcPr>
            <w:tcW w:w="3011" w:type="dxa"/>
            <w:noWrap/>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具体说明属于“人事管理、后勤管理、内部工作流程”的哪一类及认定理由。</w:t>
            </w:r>
          </w:p>
        </w:tc>
        <w:tc>
          <w:tcPr>
            <w:tcW w:w="1877" w:type="dxa"/>
            <w:noWrap/>
            <w:vAlign w:val="center"/>
          </w:tcPr>
          <w:p>
            <w:pPr>
              <w:adjustRightInd w:val="0"/>
              <w:snapToGrid w:val="0"/>
              <w:jc w:val="left"/>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79" w:type="dxa"/>
            <w:bottom w:w="57" w:type="dxa"/>
            <w:right w:w="79" w:type="dxa"/>
          </w:tblCellMar>
        </w:tblPrEx>
        <w:trPr>
          <w:trHeight w:val="454" w:hRule="atLeast"/>
          <w:jc w:val="center"/>
        </w:trPr>
        <w:tc>
          <w:tcPr>
            <w:tcW w:w="898" w:type="dxa"/>
            <w:noWrap/>
            <w:vAlign w:val="center"/>
          </w:tcPr>
          <w:p>
            <w:pPr>
              <w:adjustRightInd w:val="0"/>
              <w:snapToGrid w:val="0"/>
              <w:jc w:val="center"/>
              <w:rPr>
                <w:rFonts w:eastAsia="方正书宋_GBK" w:cs="方正书宋_GBK"/>
                <w:kern w:val="0"/>
                <w:sz w:val="24"/>
              </w:rPr>
            </w:pPr>
            <w:r>
              <w:rPr>
                <w:rFonts w:hint="eastAsia" w:eastAsia="方正书宋_GBK" w:cs="方正书宋_GBK"/>
                <w:kern w:val="0"/>
                <w:sz w:val="24"/>
              </w:rPr>
              <w:t>6</w:t>
            </w:r>
          </w:p>
        </w:tc>
        <w:tc>
          <w:tcPr>
            <w:tcW w:w="1778"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过程性信息</w:t>
            </w:r>
          </w:p>
        </w:tc>
        <w:tc>
          <w:tcPr>
            <w:tcW w:w="1633"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可以不予公开</w:t>
            </w:r>
          </w:p>
        </w:tc>
        <w:tc>
          <w:tcPr>
            <w:tcW w:w="3011" w:type="dxa"/>
            <w:noWrap/>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具体说明属于“讨论记录、过程稿、磋商信函、请示报告”的哪一类及认定理由。</w:t>
            </w:r>
          </w:p>
        </w:tc>
        <w:tc>
          <w:tcPr>
            <w:tcW w:w="1877" w:type="dxa"/>
            <w:noWrap/>
            <w:vAlign w:val="center"/>
          </w:tcPr>
          <w:p>
            <w:pPr>
              <w:adjustRightInd w:val="0"/>
              <w:snapToGrid w:val="0"/>
              <w:jc w:val="left"/>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79" w:type="dxa"/>
            <w:bottom w:w="57" w:type="dxa"/>
            <w:right w:w="79" w:type="dxa"/>
          </w:tblCellMar>
        </w:tblPrEx>
        <w:trPr>
          <w:trHeight w:val="454" w:hRule="atLeast"/>
          <w:jc w:val="center"/>
        </w:trPr>
        <w:tc>
          <w:tcPr>
            <w:tcW w:w="898" w:type="dxa"/>
            <w:noWrap/>
            <w:vAlign w:val="center"/>
          </w:tcPr>
          <w:p>
            <w:pPr>
              <w:adjustRightInd w:val="0"/>
              <w:snapToGrid w:val="0"/>
              <w:jc w:val="center"/>
              <w:rPr>
                <w:rFonts w:eastAsia="方正书宋_GBK" w:cs="方正书宋_GBK"/>
                <w:kern w:val="0"/>
                <w:sz w:val="24"/>
              </w:rPr>
            </w:pPr>
            <w:r>
              <w:rPr>
                <w:rFonts w:hint="eastAsia" w:eastAsia="方正书宋_GBK" w:cs="方正书宋_GBK"/>
                <w:kern w:val="0"/>
                <w:sz w:val="24"/>
              </w:rPr>
              <w:t>7</w:t>
            </w:r>
          </w:p>
        </w:tc>
        <w:tc>
          <w:tcPr>
            <w:tcW w:w="1778"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行政执法案卷信息</w:t>
            </w:r>
          </w:p>
        </w:tc>
        <w:tc>
          <w:tcPr>
            <w:tcW w:w="1633" w:type="dxa"/>
            <w:noWrap/>
            <w:vAlign w:val="center"/>
          </w:tcPr>
          <w:p>
            <w:pPr>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可以不予公开</w:t>
            </w:r>
          </w:p>
        </w:tc>
        <w:tc>
          <w:tcPr>
            <w:tcW w:w="3011" w:type="dxa"/>
            <w:noWrap/>
            <w:vAlign w:val="center"/>
          </w:tcPr>
          <w:p>
            <w:pPr>
              <w:adjustRightInd w:val="0"/>
              <w:snapToGrid w:val="0"/>
              <w:jc w:val="left"/>
              <w:rPr>
                <w:rFonts w:ascii="方正仿宋_GBK" w:hAnsi="方正仿宋_GBK" w:eastAsia="方正仿宋_GBK" w:cs="方正仿宋_GBK"/>
                <w:kern w:val="0"/>
                <w:sz w:val="24"/>
              </w:rPr>
            </w:pPr>
          </w:p>
        </w:tc>
        <w:tc>
          <w:tcPr>
            <w:tcW w:w="1877" w:type="dxa"/>
            <w:noWrap/>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政策性文件一般不涉及该情形。</w:t>
            </w:r>
          </w:p>
        </w:tc>
      </w:tr>
    </w:tbl>
    <w:p>
      <w:pPr>
        <w:adjustRightInd w:val="0"/>
        <w:jc w:val="left"/>
        <w:rPr>
          <w:rFonts w:eastAsia="方正仿宋_GBK"/>
          <w:sz w:val="24"/>
        </w:rPr>
      </w:pPr>
      <w:r>
        <w:rPr>
          <w:rFonts w:eastAsia="方正仿宋_GBK"/>
          <w:sz w:val="24"/>
        </w:rPr>
        <w:t>注：除上述7类法定豁免公开情形，其他政府信息原则上均应当公开。</w:t>
      </w:r>
    </w:p>
    <w:p>
      <w:pPr>
        <w:rPr>
          <w:rFonts w:eastAsia="方正书宋_GBK" w:cs="方正书宋_GBK"/>
          <w:kern w:val="0"/>
          <w:sz w:val="24"/>
        </w:rPr>
        <w:sectPr>
          <w:pgSz w:w="11906" w:h="16838"/>
          <w:pgMar w:top="1984" w:right="1474" w:bottom="1417" w:left="1587" w:header="851" w:footer="992" w:gutter="0"/>
          <w:cols w:space="0" w:num="1"/>
          <w:docGrid w:type="lines" w:linePitch="316" w:charSpace="0"/>
        </w:sectPr>
      </w:pPr>
    </w:p>
    <w:p>
      <w:pPr>
        <w:rPr>
          <w:rFonts w:eastAsia="方正黑体_GBK" w:cs="方正黑体_GBK"/>
          <w:kern w:val="0"/>
          <w:sz w:val="32"/>
          <w:szCs w:val="32"/>
        </w:rPr>
      </w:pPr>
      <w:r>
        <w:rPr>
          <w:rFonts w:hint="eastAsia" w:eastAsia="方正黑体_GBK" w:cs="方正黑体_GBK"/>
          <w:kern w:val="0"/>
          <w:sz w:val="32"/>
          <w:szCs w:val="32"/>
        </w:rPr>
        <w:t>附件3</w:t>
      </w:r>
    </w:p>
    <w:p>
      <w:pPr>
        <w:rPr>
          <w:rFonts w:eastAsia="方正黑体_GBK" w:cs="方正黑体_GBK"/>
          <w:kern w:val="0"/>
          <w:sz w:val="22"/>
          <w:szCs w:val="2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重庆市永川区大安街道各领域</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spacing w:val="-6"/>
          <w:kern w:val="0"/>
          <w:sz w:val="44"/>
          <w:szCs w:val="44"/>
        </w:rPr>
      </w:pPr>
      <w:r>
        <w:rPr>
          <w:rFonts w:hint="eastAsia" w:ascii="方正小标宋_GBK" w:hAnsi="方正小标宋_GBK" w:eastAsia="方正小标宋_GBK" w:cs="方正小标宋_GBK"/>
          <w:spacing w:val="-6"/>
          <w:sz w:val="44"/>
          <w:szCs w:val="44"/>
        </w:rPr>
        <w:t>基层政务公开目录</w:t>
      </w:r>
    </w:p>
    <w:p>
      <w:pPr>
        <w:rPr>
          <w:rFonts w:eastAsia="方正黑体_GBK" w:cs="方正黑体_GBK"/>
          <w:kern w:val="0"/>
          <w:sz w:val="22"/>
          <w:szCs w:val="22"/>
        </w:rPr>
      </w:pPr>
    </w:p>
    <w:tbl>
      <w:tblPr>
        <w:tblStyle w:val="8"/>
        <w:tblW w:w="902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20"/>
        <w:gridCol w:w="910"/>
        <w:gridCol w:w="2341"/>
        <w:gridCol w:w="505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sz w:val="22"/>
                <w:szCs w:val="22"/>
              </w:rPr>
            </w:pPr>
            <w:r>
              <w:rPr>
                <w:rFonts w:hint="eastAsia" w:ascii="方正黑体_GBK" w:hAnsi="方正黑体_GBK" w:eastAsia="方正黑体_GBK" w:cs="方正黑体_GBK"/>
                <w:kern w:val="0"/>
                <w:sz w:val="22"/>
                <w:szCs w:val="22"/>
              </w:rPr>
              <w:t>序号</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sz w:val="22"/>
                <w:szCs w:val="22"/>
              </w:rPr>
            </w:pPr>
            <w:r>
              <w:rPr>
                <w:rFonts w:hint="eastAsia" w:ascii="方正黑体_GBK" w:hAnsi="方正黑体_GBK" w:eastAsia="方正黑体_GBK" w:cs="方正黑体_GBK"/>
                <w:kern w:val="0"/>
                <w:sz w:val="22"/>
                <w:szCs w:val="22"/>
              </w:rPr>
              <w:t>领域名称</w:t>
            </w: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sz w:val="22"/>
                <w:szCs w:val="22"/>
              </w:rPr>
            </w:pPr>
            <w:r>
              <w:rPr>
                <w:rFonts w:hint="eastAsia" w:ascii="方正黑体_GBK" w:hAnsi="方正黑体_GBK" w:eastAsia="方正黑体_GBK" w:cs="方正黑体_GBK"/>
                <w:kern w:val="0"/>
                <w:sz w:val="22"/>
                <w:szCs w:val="22"/>
              </w:rPr>
              <w:t>一级事项</w:t>
            </w:r>
          </w:p>
        </w:tc>
        <w:tc>
          <w:tcPr>
            <w:tcW w:w="5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sz w:val="22"/>
                <w:szCs w:val="22"/>
              </w:rPr>
            </w:pPr>
            <w:r>
              <w:rPr>
                <w:rFonts w:hint="eastAsia" w:ascii="方正黑体_GBK" w:hAnsi="方正黑体_GBK" w:eastAsia="方正黑体_GBK" w:cs="方正黑体_GBK"/>
                <w:kern w:val="0"/>
                <w:sz w:val="22"/>
                <w:szCs w:val="22"/>
              </w:rPr>
              <w:t>二级事项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0" w:hRule="atLeas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国土空间规划</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规划编制</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城市、镇详细规划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规划许可</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建设工程</w:t>
            </w:r>
            <w:r>
              <w:rPr>
                <w:rFonts w:hint="eastAsia" w:eastAsia="方正仿宋_GBK"/>
                <w:kern w:val="0"/>
                <w:sz w:val="22"/>
                <w:szCs w:val="22"/>
                <w:lang w:eastAsia="zh-CN"/>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0" w:hRule="atLeast"/>
          <w:jc w:val="center"/>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行政处罚</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对擅自改变城乡规划主管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部门核发的乡村建设规划许可证及附件、附图的许可内容进行建设的处罚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4</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农村危房改造</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计划实施</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及时公开农村危房改造补助农户名单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条件与标准</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农村危房改造对象申请条件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农村危房改造资金补助标准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对象认定</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危改户认定程序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认定结果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9</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就业创业</w:t>
            </w: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就业信息服务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就业政策咨询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岗位信息发布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求职信息登记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市场工资指导价位信息发布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职业培训信息发布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职业介绍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职业介绍、职业指导和创业开业指导</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职业指导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创业开业指导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公共就业服务专项活动</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公共就业服务专项活动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就业失业登记</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失业登记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就业登记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20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《就业创业证》申领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21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创业服务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创业担保贷款申请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22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就业困难人员</w:t>
            </w:r>
            <w:r>
              <w:rPr>
                <w:rFonts w:hint="eastAsia" w:eastAsia="方正仿宋_GBK"/>
                <w:kern w:val="0"/>
                <w:sz w:val="22"/>
                <w:szCs w:val="22"/>
              </w:rPr>
              <w:t>（</w:t>
            </w:r>
            <w:r>
              <w:rPr>
                <w:rFonts w:eastAsia="方正仿宋_GBK"/>
                <w:kern w:val="0"/>
                <w:sz w:val="22"/>
                <w:szCs w:val="22"/>
              </w:rPr>
              <w:t>含建档立卡贫困劳动力</w:t>
            </w:r>
            <w:r>
              <w:rPr>
                <w:rFonts w:hint="eastAsia" w:eastAsia="方正仿宋_GBK"/>
                <w:kern w:val="0"/>
                <w:sz w:val="22"/>
                <w:szCs w:val="22"/>
              </w:rPr>
              <w:t>）</w:t>
            </w:r>
            <w:r>
              <w:rPr>
                <w:rFonts w:eastAsia="方正仿宋_GBK"/>
                <w:kern w:val="0"/>
                <w:sz w:val="22"/>
                <w:szCs w:val="22"/>
              </w:rPr>
              <w:t>实施就业援助</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就业困难人员认定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23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就业困难人员社会保险补贴申领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24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公益性岗位补贴申领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25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吸纳贫困劳动力就业奖补申领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26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低保就业补贴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27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生活费补贴申领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28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职业技能鉴定补贴申领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29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岗位补贴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30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高校毕业生求职创业补贴申领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31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高校毕业生社保补贴申领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32</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社会保险</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社会保险登记</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城乡居民养老保险参保登记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33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社会保险参保信息维护</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个人基本信息变更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34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养老保险待遇发放账户维护申请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35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社会保险参保缴费记录查询</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个人权益记录查询打印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36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养老保险服务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城乡居民养老保险待遇申领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37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暂停养老保险待遇申请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38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恢复养老保险待遇申请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39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个人账户一次性待遇申领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40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丧葬补助金、抚恤金申领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41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居民养老保险注销登记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42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失业保险服务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失业保险金申领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43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丧葬补助金和抚恤金申领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44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职业培训补贴申领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45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职业介绍补贴申领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46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代缴基本医疗保险费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47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价格临时补贴申领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48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失业保险关系转移接续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49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50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社会保障卡启用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51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社会保障卡应用状态查询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52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社会保障卡信息变更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53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社会保障卡应用锁定与解锁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54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社会保障卡密码修改与重置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55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社会保障卡挂失与解挂</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56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社会保障卡补领、换领、换发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57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社会保障卡注销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58</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公共法律服务</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行政给付</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人民调解员补贴发放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59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咨询服务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公共法律服务实体平台、热线平台、网络平台咨询服务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60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公共法律服务实体、热线网络平台信息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61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其他公共服务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法律知识普及服务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62</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安全生产</w:t>
            </w: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政策文件</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法律法规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63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部门和地方规章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64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其他政策文件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65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66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重大决策草案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67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重大决策解读及回应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68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重要会议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69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征集采纳社会公众意见情况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70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依法行政</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行政处罚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71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行政管理</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隐患管理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72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应急管理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73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黑名单管理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74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动态信息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75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安全生产预警提示信息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76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公共服务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政务公开目录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77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政务公开标准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78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权力清单及责任清单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79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主要业务办事指南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80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年度报告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81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重点领域信息公开</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政府采购信息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82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办事纪律和监督管理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83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重大工程项目信息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84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检查和巡查发现安全监管监察问题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85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建议提案办理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86</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救灾</w:t>
            </w: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政策文件</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法律法规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87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其他政策文件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88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部门和地方规章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89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重大决策草案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90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重大政策解读及回应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91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重要会议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92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征集采纳社会公众意见情况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93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备灾管理</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综合减灾示范社区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94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灾害信息员队伍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95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预警信息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96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灾后救助</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救助审定信息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97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应急管理部门审批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98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因灾过渡期生活救助</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99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居民住房恢复重建救助</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100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款物管理</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捐赠款物信息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101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年度款物使用情况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102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工作动态</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工作信息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103</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社会保险</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社会保险登记</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城乡居民养老保险参保登记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104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社会保险参保信息维护</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个人基本信息变更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105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养老保险待遇发放账户维护申请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106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社会保险参保缴费记录查询</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个人权益记录查询打印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107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养老保险服务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城乡居民养老保险待遇申领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108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暂停养老保险待遇申请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109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恢复养老保险待遇申请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110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个人账户一次性待遇申领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111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丧葬补助金、抚恤金申领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112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居民养老保险注销登记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113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失业保险服务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失业保险金申领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114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丧葬补助金和抚恤金申领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115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职业培训补贴申领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116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职业介绍补贴申领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117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代缴基本医疗保险费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118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价格临时补贴申领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119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失业保险关系转移接续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120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社会保障卡申领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121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社会保障卡启用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122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社会保障卡应用状态查询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123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社会保障卡信息变更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124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社会保障卡应用锁定与解锁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125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社会保障卡密码修改与重置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126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社会保障卡挂失与解挂</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127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社会保障卡补领、换领、换发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128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社会保障卡注销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129</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公共文化服务</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主要文艺演出活动查询服务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主要文艺演出活动查询服务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130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图书馆书刊借阅及互借互还服务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图书馆书刊借阅及互借互还服务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131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公共文化场馆展览展示及讲座培训</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公共文化场馆展览展示及讲座培训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132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文化艺术公益普及活动</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文化艺术公益普及活动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133</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社会救助领域和养老服务</w:t>
            </w: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社会救助综合业务</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政策法规文件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134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监督检查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135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最低生活保障</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政策法规文件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136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办事指南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137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审核信息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138</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审批信息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139</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特困人员救助供养</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政策法规文件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140</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办事指南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141</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审核信息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142</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审批信息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143</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临时救助</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政策法规文件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144</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办事指南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145</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审核审批信息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146</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养老服务领域业务办理</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老年人补贴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147</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养老服务领域行业管理</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eastAsia="方正仿宋_GBK"/>
                <w:sz w:val="22"/>
                <w:szCs w:val="22"/>
              </w:rPr>
            </w:pPr>
            <w:r>
              <w:rPr>
                <w:rFonts w:eastAsia="方正仿宋_GBK"/>
                <w:kern w:val="0"/>
                <w:sz w:val="22"/>
                <w:szCs w:val="22"/>
              </w:rPr>
              <w:t>对养老服务收费项目及标准进行监督管理</w:t>
            </w:r>
          </w:p>
        </w:tc>
      </w:tr>
    </w:tbl>
    <w:p/>
    <w:sectPr>
      <w:pgSz w:w="11906" w:h="16838"/>
      <w:pgMar w:top="850" w:right="1616" w:bottom="567" w:left="1616"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603F01FF" w:csb1="FFFF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5pt;height:11.35pt;width:144pt;mso-position-horizontal:outside;mso-position-horizontal-relative:margin;mso-wrap-style:none;z-index:251659264;mso-width-relative:page;mso-height-relative:page;" filled="f" stroked="f" coordsize="21600,21600" o:gfxdata="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fbuOdYAAAAGAQAADwAAAAAAAAABACAAAAAiAAAAZHJzL2Rvd25yZXYu&#10;eG1sUEsBAhQAFAAAAAgAh07iQJgGIoA2AgAAYAQAAA4AAAAAAAAAAQAgAAAAJQEAAGRycy9lMm9E&#10;b2MueG1sUEsFBgAAAAAGAAYAWQEAAM0FAAAAAA==&#10;">
          <v:path/>
          <v:fill on="f" focussize="0,0"/>
          <v:stroke on="f" weight="0.5pt" joinstyle="miter"/>
          <v:imagedata o:title=""/>
          <o:lock v:ext="edit"/>
          <v:textbox inset="0mm,0mm,0mm,0mm">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M3ZGYwODBlMjA1YzBjYTlkYjZmNTQ4MWI0N2NmNjgifQ=="/>
  </w:docVars>
  <w:rsids>
    <w:rsidRoot w:val="001E0A23"/>
    <w:rsid w:val="000B267A"/>
    <w:rsid w:val="001E0A23"/>
    <w:rsid w:val="003D6E03"/>
    <w:rsid w:val="00724816"/>
    <w:rsid w:val="007840F4"/>
    <w:rsid w:val="008C5EA1"/>
    <w:rsid w:val="00D520B3"/>
    <w:rsid w:val="0729335A"/>
    <w:rsid w:val="074051F9"/>
    <w:rsid w:val="07C82CA9"/>
    <w:rsid w:val="08931509"/>
    <w:rsid w:val="0C833643"/>
    <w:rsid w:val="0D4436BB"/>
    <w:rsid w:val="0DDA0B63"/>
    <w:rsid w:val="0EE26D46"/>
    <w:rsid w:val="0FBC1346"/>
    <w:rsid w:val="10C761F4"/>
    <w:rsid w:val="120470DC"/>
    <w:rsid w:val="12121B4F"/>
    <w:rsid w:val="14531B4D"/>
    <w:rsid w:val="155B282E"/>
    <w:rsid w:val="17CB6EEE"/>
    <w:rsid w:val="196A3BC0"/>
    <w:rsid w:val="199440B1"/>
    <w:rsid w:val="1A7A0749"/>
    <w:rsid w:val="1D8475BB"/>
    <w:rsid w:val="1E6512FF"/>
    <w:rsid w:val="1F3233D2"/>
    <w:rsid w:val="1F720A5F"/>
    <w:rsid w:val="1F8C0E66"/>
    <w:rsid w:val="1FF16DE9"/>
    <w:rsid w:val="22E91FFA"/>
    <w:rsid w:val="24B850E2"/>
    <w:rsid w:val="24DC16EA"/>
    <w:rsid w:val="282B6C11"/>
    <w:rsid w:val="2A0834AB"/>
    <w:rsid w:val="2A80572B"/>
    <w:rsid w:val="2C556610"/>
    <w:rsid w:val="2D0F6B01"/>
    <w:rsid w:val="2F4B75B1"/>
    <w:rsid w:val="2FDB43DF"/>
    <w:rsid w:val="300D6634"/>
    <w:rsid w:val="30DD6F16"/>
    <w:rsid w:val="312468F3"/>
    <w:rsid w:val="31671015"/>
    <w:rsid w:val="34001CDA"/>
    <w:rsid w:val="387D1690"/>
    <w:rsid w:val="391E4825"/>
    <w:rsid w:val="391E6B1D"/>
    <w:rsid w:val="3A836438"/>
    <w:rsid w:val="3AED7D56"/>
    <w:rsid w:val="3BB217D2"/>
    <w:rsid w:val="3BBA5569"/>
    <w:rsid w:val="3CC30326"/>
    <w:rsid w:val="3CE16F01"/>
    <w:rsid w:val="3D0A77EF"/>
    <w:rsid w:val="3E774506"/>
    <w:rsid w:val="3FF62426"/>
    <w:rsid w:val="412D2914"/>
    <w:rsid w:val="46511AE0"/>
    <w:rsid w:val="4B125CE2"/>
    <w:rsid w:val="4C422E07"/>
    <w:rsid w:val="4CD46FC7"/>
    <w:rsid w:val="4E71567A"/>
    <w:rsid w:val="4EF86CC0"/>
    <w:rsid w:val="52595FA5"/>
    <w:rsid w:val="533F1CBC"/>
    <w:rsid w:val="535473CA"/>
    <w:rsid w:val="563A229A"/>
    <w:rsid w:val="568A2E25"/>
    <w:rsid w:val="5AE612AC"/>
    <w:rsid w:val="5DAF4A56"/>
    <w:rsid w:val="5E83250B"/>
    <w:rsid w:val="5EDFAAE3"/>
    <w:rsid w:val="601654D5"/>
    <w:rsid w:val="62055E3F"/>
    <w:rsid w:val="637349EC"/>
    <w:rsid w:val="667D60E1"/>
    <w:rsid w:val="66D41C46"/>
    <w:rsid w:val="6B76049D"/>
    <w:rsid w:val="6CA42514"/>
    <w:rsid w:val="6CAD5273"/>
    <w:rsid w:val="6CDE55CC"/>
    <w:rsid w:val="6E086DEA"/>
    <w:rsid w:val="6E761835"/>
    <w:rsid w:val="6F332A28"/>
    <w:rsid w:val="71107D1F"/>
    <w:rsid w:val="712C70D1"/>
    <w:rsid w:val="77471FC0"/>
    <w:rsid w:val="7B2965AD"/>
    <w:rsid w:val="7B694BFB"/>
    <w:rsid w:val="7CF8248D"/>
    <w:rsid w:val="7E0D24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cs="Arial"/>
      <w:b/>
      <w:kern w:val="44"/>
      <w:sz w:val="28"/>
      <w:szCs w:val="22"/>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widowControl/>
      <w:spacing w:before="100" w:beforeAutospacing="1" w:after="100" w:afterAutospacing="1"/>
      <w:jc w:val="left"/>
    </w:pPr>
    <w:rPr>
      <w:rFonts w:ascii="Arial Unicode MS" w:eastAsia="Arial Unicode MS"/>
      <w:kern w:val="0"/>
      <w:sz w:val="24"/>
    </w:rPr>
  </w:style>
  <w:style w:type="paragraph" w:styleId="5">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4287</Words>
  <Characters>4514</Characters>
  <Lines>38</Lines>
  <Paragraphs>10</Paragraphs>
  <TotalTime>4</TotalTime>
  <ScaleCrop>false</ScaleCrop>
  <LinksUpToDate>false</LinksUpToDate>
  <CharactersWithSpaces>4524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2019-09-24T18:38:00Z</dcterms:created>
  <dc:creator>Admin</dc:creator>
  <cp:lastModifiedBy> </cp:lastModifiedBy>
  <dcterms:modified xsi:type="dcterms:W3CDTF">2022-11-19T17:28:33Z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25494D239CBE423E995B813D60391A7A</vt:lpwstr>
  </property>
</Properties>
</file>