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永大安〔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hAnsi="方正仿宋_GBK" w:eastAsia="方正仿宋_GBK"/>
          <w:sz w:val="32"/>
          <w:szCs w:val="32"/>
        </w:rPr>
        <w:t>号</w:t>
      </w:r>
    </w:p>
    <w:p>
      <w:pPr>
        <w:snapToGrid w:val="0"/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重庆市永川区大安街道办事处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color w:val="000000"/>
          <w:spacing w:val="-1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pacing w:val="-10"/>
          <w:sz w:val="44"/>
          <w:szCs w:val="44"/>
        </w:rPr>
        <w:t>关于印发《大安街道2023年春节期间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燃放烟花爆竹安全管理工作方案》的通知</w:t>
      </w:r>
    </w:p>
    <w:p>
      <w:pPr>
        <w:snapToGrid w:val="0"/>
        <w:spacing w:line="594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</w:t>
      </w:r>
    </w:p>
    <w:p>
      <w:pPr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各村（居）委会、安委会成员单位、有关单位：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《大安街道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Times New Roman" w:hAnsi="方正仿宋_GBK" w:eastAsia="方正仿宋_GBK"/>
          <w:sz w:val="32"/>
          <w:szCs w:val="32"/>
        </w:rPr>
        <w:t>年春节期间燃放烟花爆竹安全管理工作方案》已经办事处研究同意，现印发给你们，请结合实际认真贯彻执行。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napToGrid w:val="0"/>
        <w:spacing w:line="594" w:lineRule="exact"/>
        <w:ind w:firstLine="4000" w:firstLineChars="1250"/>
        <w:jc w:val="righ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方正仿宋_GBK" w:eastAsia="方正仿宋_GBK"/>
          <w:color w:val="000000"/>
          <w:kern w:val="0"/>
          <w:sz w:val="32"/>
          <w:szCs w:val="32"/>
        </w:rPr>
        <w:t>重庆市永川区大安街道办事处</w:t>
      </w:r>
    </w:p>
    <w:p>
      <w:pPr>
        <w:snapToGrid w:val="0"/>
        <w:spacing w:line="594" w:lineRule="exact"/>
        <w:jc w:val="center"/>
        <w:rPr>
          <w:rFonts w:ascii="Times New Roman" w:hAns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方正仿宋_GBK" w:eastAsia="方正仿宋_GBK"/>
          <w:sz w:val="32"/>
          <w:szCs w:val="32"/>
        </w:rPr>
        <w:t>日</w:t>
      </w:r>
    </w:p>
    <w:p>
      <w:pPr>
        <w:snapToGrid w:val="0"/>
        <w:spacing w:line="594" w:lineRule="exact"/>
        <w:jc w:val="both"/>
        <w:rPr>
          <w:rFonts w:hint="eastAsia" w:ascii="Times New Roman" w:hAnsi="方正仿宋_GBK" w:eastAsia="方正仿宋_GBK"/>
          <w:sz w:val="32"/>
          <w:szCs w:val="32"/>
          <w:lang w:eastAsia="zh-CN"/>
        </w:rPr>
        <w:sectPr>
          <w:pgSz w:w="11906" w:h="16838"/>
          <w:pgMar w:top="6237" w:right="1474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（此件公开发布）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大安街道2023年春节期间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燃放烟花爆竹安全管理工作方案</w:t>
      </w:r>
    </w:p>
    <w:p>
      <w:pPr>
        <w:snapToGrid w:val="0"/>
        <w:spacing w:line="594" w:lineRule="exact"/>
        <w:ind w:firstLine="6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为切实做好</w:t>
      </w:r>
      <w:r>
        <w:rPr>
          <w:rFonts w:ascii="Times New Roman" w:hAnsi="Times New Roman" w:eastAsia="方正仿宋_GBK"/>
          <w:sz w:val="32"/>
          <w:szCs w:val="32"/>
        </w:rPr>
        <w:t xml:space="preserve"> 2023</w:t>
      </w:r>
      <w:r>
        <w:rPr>
          <w:rFonts w:ascii="Times New Roman" w:hAnsi="方正仿宋_GBK" w:eastAsia="方正仿宋_GBK"/>
          <w:sz w:val="32"/>
          <w:szCs w:val="32"/>
        </w:rPr>
        <w:t>年春节期间全街道烟花爆竹燃放安全管理工作，努力实现重大危险源场所、销售点、燃放点安全，确保全街道不因燃放烟花爆竹引发火灾和人员伤亡等事故，特制定本方案。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一、组织领导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方正仿宋_GBK" w:eastAsia="方正仿宋_GBK"/>
          <w:bCs/>
          <w:sz w:val="32"/>
          <w:szCs w:val="32"/>
        </w:rPr>
        <w:t>街道成立</w:t>
      </w:r>
      <w:r>
        <w:rPr>
          <w:rFonts w:ascii="Times New Roman" w:hAnsi="方正仿宋_GBK" w:eastAsia="方正仿宋_GBK"/>
          <w:sz w:val="32"/>
          <w:szCs w:val="32"/>
        </w:rPr>
        <w:t>烟花爆竹燃放安全管理工作领导小组，由办事处主任裴渝川任组长，政法委员刘刚任副组长，各安委会成员单位负责人为成员。领导小组下设办公室在应急办，负责日常协调管理工作。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 xml:space="preserve">二、职责分工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按照《重庆市燃放烟花爆竹管理条例》（以下简称《条例》）有关规定，由应急办牵头，党政办（宣传）、大安派出所、大安市场监管所、平安办、城管大队、环卫所、文化服务中心等有关部门及单位共同配合，做好全街道燃放烟花爆竹安全管理工作。具体职责如下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方正仿宋_GBK" w:eastAsia="方正仿宋_GBK"/>
          <w:b/>
          <w:bCs/>
          <w:sz w:val="32"/>
          <w:szCs w:val="32"/>
        </w:rPr>
        <w:t>党政办（宣传）：</w:t>
      </w:r>
      <w:r>
        <w:rPr>
          <w:rFonts w:ascii="Times New Roman" w:hAnsi="方正仿宋_GBK" w:eastAsia="方正仿宋_GBK"/>
          <w:sz w:val="32"/>
          <w:szCs w:val="32"/>
        </w:rPr>
        <w:t>负责烟花爆竹燃放安全管理宣传工作，广泛宣传《条例》相关规定和重大意义，引起广大群众提高自觉性，创造良好的社会氛围。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b/>
          <w:bCs/>
          <w:sz w:val="32"/>
          <w:szCs w:val="32"/>
        </w:rPr>
        <w:t>大安派出所：</w:t>
      </w:r>
      <w:r>
        <w:rPr>
          <w:rFonts w:ascii="Times New Roman" w:hAnsi="方正仿宋_GBK" w:eastAsia="方正仿宋_GBK"/>
          <w:sz w:val="32"/>
          <w:szCs w:val="32"/>
        </w:rPr>
        <w:t>负责许可烟花爆竹运输和确定品种、数量、运输路线及有效期限；查处运输、携带和燃放品种和规格不符合规定的烟花爆竹的行为；查处在禁止燃放烟花爆竹的时间和场所违规燃放的行为；侦查非法生产、买卖、储存、运输、邮寄烟花爆竹的刑事案件；积极配合有关部门查处、取缔非法生产经营烟花爆竹行为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b/>
          <w:bCs/>
          <w:sz w:val="32"/>
          <w:szCs w:val="32"/>
        </w:rPr>
        <w:t>应急办：</w:t>
      </w:r>
      <w:r>
        <w:rPr>
          <w:rFonts w:ascii="Times New Roman" w:hAnsi="方正仿宋_GBK" w:eastAsia="方正仿宋_GBK"/>
          <w:sz w:val="32"/>
          <w:szCs w:val="32"/>
        </w:rPr>
        <w:t>负责烟花爆竹经营环节的安全监管，审查烟花爆竹销售、储存场所的安全条件，许可烟花爆竹销售；监督检查烟花爆竹销售单位遵守销售许可证规定的情况，查处非法生产、经营、储存烟花爆竹行为和烟花爆竹生产安全事故；督促指导加油（气）站和危险化学品生产、储存等有关单位，开展安全隐患排查整治，落实重点目标安全守护措施。做好烟花爆竹专营管理、销售布点和产品配送工作；落实储存库房安全防范措施；制订消防灭火救援应急预案，做好应急救援准备工作；统计因燃放烟花爆竹引发的火警、火灾情况并调查原因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b/>
          <w:bCs/>
          <w:sz w:val="32"/>
          <w:szCs w:val="32"/>
        </w:rPr>
        <w:t>大安市场监管所</w:t>
      </w:r>
      <w:r>
        <w:rPr>
          <w:rFonts w:ascii="Times New Roman" w:hAnsi="方正仿宋_GBK" w:eastAsia="方正仿宋_GBK"/>
          <w:sz w:val="32"/>
          <w:szCs w:val="32"/>
        </w:rPr>
        <w:t>：负责市场流通领域烟花爆竹质量的监督检查，依法办理工商营业执照，查处无证无照经营行为。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b/>
          <w:bCs/>
          <w:sz w:val="32"/>
          <w:szCs w:val="32"/>
        </w:rPr>
        <w:t>文化服务中心</w:t>
      </w:r>
      <w:r>
        <w:rPr>
          <w:rFonts w:ascii="Times New Roman" w:hAnsi="方正仿宋_GBK" w:eastAsia="方正仿宋_GBK"/>
          <w:sz w:val="32"/>
          <w:szCs w:val="32"/>
        </w:rPr>
        <w:t>：负责利用广播进行燃放烟花爆竹安全教育宣传工作。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b/>
          <w:bCs/>
          <w:sz w:val="32"/>
          <w:szCs w:val="32"/>
        </w:rPr>
        <w:t>平安办</w:t>
      </w:r>
      <w:r>
        <w:rPr>
          <w:rFonts w:ascii="Times New Roman" w:hAnsi="方正仿宋_GBK" w:eastAsia="方正仿宋_GBK"/>
          <w:sz w:val="32"/>
          <w:szCs w:val="32"/>
        </w:rPr>
        <w:t>：负责组织指导有关单位对重点消防单位等禁放区域的看护。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bCs/>
          <w:sz w:val="32"/>
          <w:szCs w:val="32"/>
        </w:rPr>
        <w:t>城管大队、</w:t>
      </w:r>
      <w:r>
        <w:rPr>
          <w:rFonts w:ascii="Times New Roman" w:hAnsi="方正仿宋_GBK" w:eastAsia="方正仿宋_GBK"/>
          <w:sz w:val="32"/>
          <w:szCs w:val="32"/>
        </w:rPr>
        <w:t>环卫所、陈家祠、石庙、茶店社区负责组织市政设施、燃气及下水道、化粪池维护管理单位落实责任，开展安全隐患排查、整治；组织指导有关单位在其重要设施设立统一标识并派人看护；负责组织清扫公共区域内的烟花爆竹残屑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 xml:space="preserve">三、工作措施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（一）开展烟花爆竹专项整治行动，严防非法、假冒伪劣、超标烟花爆竹产品流入市场。</w:t>
      </w:r>
      <w:r>
        <w:rPr>
          <w:rFonts w:ascii="Times New Roman" w:hAnsi="方正仿宋_GBK" w:eastAsia="方正仿宋_GBK"/>
          <w:sz w:val="32"/>
          <w:szCs w:val="32"/>
        </w:rPr>
        <w:t>各部门要按照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方正仿宋_GBK" w:eastAsia="方正仿宋_GBK"/>
          <w:sz w:val="32"/>
          <w:szCs w:val="32"/>
        </w:rPr>
        <w:t>全覆盖、零容忍、严执法、重实效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方正仿宋_GBK" w:eastAsia="方正仿宋_GBK"/>
          <w:sz w:val="32"/>
          <w:szCs w:val="32"/>
        </w:rPr>
        <w:t>的总体要求，强化排查整治和综合执法，严厉打击非法生产经营烟花爆竹行为，有效堵塞非法烟花爆竹产品流入渠道，全面挤压非法、假冒伪劣、超标烟花爆竹的市场空间，对查处的非法烟花爆竹产品进行集中销毁。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（二）加强安全与环保理念宣传教育，提升市民依法、文明、安全燃放素质。</w:t>
      </w:r>
      <w:r>
        <w:rPr>
          <w:rFonts w:ascii="Times New Roman" w:hAnsi="方正仿宋_GBK" w:eastAsia="方正仿宋_GBK"/>
          <w:sz w:val="32"/>
          <w:szCs w:val="32"/>
        </w:rPr>
        <w:t>以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方正仿宋_GBK" w:eastAsia="方正仿宋_GBK"/>
          <w:sz w:val="32"/>
          <w:szCs w:val="32"/>
        </w:rPr>
        <w:t>依法、文明、安全燃放烟花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方正仿宋_GBK" w:eastAsia="方正仿宋_GBK"/>
          <w:sz w:val="32"/>
          <w:szCs w:val="32"/>
        </w:rPr>
        <w:t>为主题，提倡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方正仿宋_GBK" w:eastAsia="方正仿宋_GBK"/>
          <w:sz w:val="32"/>
          <w:szCs w:val="32"/>
        </w:rPr>
        <w:t>少放一组烟花爆竹，多呼吸一口新鲜空气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方正仿宋_GBK" w:eastAsia="方正仿宋_GBK"/>
          <w:sz w:val="32"/>
          <w:szCs w:val="32"/>
        </w:rPr>
        <w:t>的环保理念，运用广播、宣传栏、网络等媒体和手段，开展多种形式的烟花爆竹燃放宣传活动。宣传教育工作重点突出政策法规、燃放知识、安全措施、注意事项等内容，节前以告知禁放区域、打击非法案例为重点，节中以倡导安全文明燃放、维护燃放秩序为重点，节后以严格禁放、回收剩余产品为重点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（三）依法划定禁放、限放区域，设立禁放标识。</w:t>
      </w:r>
      <w:r>
        <w:rPr>
          <w:rFonts w:ascii="Times New Roman" w:hAnsi="方正仿宋_GBK" w:eastAsia="方正仿宋_GBK"/>
          <w:sz w:val="32"/>
          <w:szCs w:val="32"/>
        </w:rPr>
        <w:t>要严格按照《条例》有关规定，科学、合理划定本地区禁放、限放区域（车站、人员密集场所、加油站、可燃、易燃、易爆物品生产经营企业，医疗单位、幼儿园、中小学校、敬老院、林区等重点防火区域）。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（四）开展安全隐患大排查，彻底整治和消除安全隐患。</w:t>
      </w:r>
      <w:r>
        <w:rPr>
          <w:rFonts w:ascii="Times New Roman" w:hAnsi="方正仿宋_GBK" w:eastAsia="方正仿宋_GBK"/>
          <w:sz w:val="32"/>
          <w:szCs w:val="32"/>
        </w:rPr>
        <w:t>各部门要严格排查烟花爆竹燃放安全隐患，重点排查加油站、油气管道、电力设施和危化产品、民爆物品、烟花爆竹储存仓库等重大危险源，认真清理市政地下管线、检查井、下水道等设施，组织检查烟花爆竹销售网点及其周边环境安全设施到位情况。对排查中发现的问题，要确定整改责任单位和责任人，限期消除安全隐患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（五）强化燃放现场秩序监管，落实应急救援措施。</w:t>
      </w:r>
      <w:r>
        <w:rPr>
          <w:rFonts w:ascii="Times New Roman" w:hAnsi="方正仿宋_GBK" w:eastAsia="方正仿宋_GBK"/>
          <w:sz w:val="32"/>
          <w:szCs w:val="32"/>
        </w:rPr>
        <w:t>除夕、正月初一、正月十五等重点时段，各部门和三个社区居委会要组织志愿者和村（居）干部开展街面、小区、大院的巡逻监控，做到每条街道、每个大院都有人看守；每个烟花爆竹销售点经营户要落实</w:t>
      </w:r>
      <w:r>
        <w:rPr>
          <w:rFonts w:ascii="Times New Roman" w:hAnsi="Times New Roman" w:eastAsia="方正仿宋_GBK"/>
          <w:sz w:val="32"/>
          <w:szCs w:val="32"/>
        </w:rPr>
        <w:t>1—2</w:t>
      </w:r>
      <w:r>
        <w:rPr>
          <w:rFonts w:ascii="Times New Roman" w:hAnsi="方正仿宋_GBK" w:eastAsia="方正仿宋_GBK"/>
          <w:sz w:val="32"/>
          <w:szCs w:val="32"/>
        </w:rPr>
        <w:t>人专门看护，严禁在销售点及周边燃放烟花爆竹。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 xml:space="preserve">四、工作要求 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（一）加强组织领导。</w:t>
      </w:r>
      <w:r>
        <w:rPr>
          <w:rFonts w:ascii="Times New Roman" w:hAnsi="方正仿宋_GBK" w:eastAsia="方正仿宋_GBK"/>
          <w:sz w:val="32"/>
          <w:szCs w:val="32"/>
        </w:rPr>
        <w:t>各部门要充分认识烟花爆竹管理面临的严峻形势，精心组织，强化监管，确保燃放烟花爆竹安全管理工作有序有效推进。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（二）强化督导检查。</w:t>
      </w:r>
      <w:r>
        <w:rPr>
          <w:rFonts w:ascii="Times New Roman" w:hAnsi="方正仿宋_GBK" w:eastAsia="方正仿宋_GBK"/>
          <w:sz w:val="32"/>
          <w:szCs w:val="32"/>
        </w:rPr>
        <w:t>督察组要加大对燃放烟花爆竹安全管理工作的监督检查力度，督促落实工作措施和责任；凡因燃放烟花爆竹安全管理工作措施不到位、工作不落实引发事故的，将依法依规追究有关单位和责任人的责任。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（三）及时报送情况。</w:t>
      </w:r>
      <w:r>
        <w:rPr>
          <w:rFonts w:ascii="Times New Roman" w:hAnsi="方正仿宋_GBK" w:eastAsia="方正仿宋_GBK"/>
          <w:sz w:val="32"/>
          <w:szCs w:val="32"/>
        </w:rPr>
        <w:t>各部门要加强工作联系，及时报告重大事项，报送因燃放烟花爆竹引发的火灾、人员伤亡等情况。电话：</w:t>
      </w:r>
      <w:r>
        <w:rPr>
          <w:rFonts w:ascii="Times New Roman" w:hAnsi="Times New Roman" w:eastAsia="方正仿宋_GBK"/>
          <w:sz w:val="32"/>
          <w:szCs w:val="32"/>
        </w:rPr>
        <w:t>49401013</w:t>
      </w:r>
      <w:r>
        <w:rPr>
          <w:rFonts w:ascii="Times New Roman" w:hAnsi="方正仿宋_GBK" w:eastAsia="方正仿宋_GBK"/>
          <w:sz w:val="32"/>
          <w:szCs w:val="32"/>
        </w:rPr>
        <w:t>。</w:t>
      </w:r>
    </w:p>
    <w:p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pacing w:val="-30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pacing w:val="-30"/>
          <w:sz w:val="32"/>
          <w:szCs w:val="32"/>
        </w:rPr>
        <w:t>.</w:t>
      </w:r>
      <w:r>
        <w:rPr>
          <w:rFonts w:ascii="Times New Roman" w:hAnsi="方正仿宋_GBK" w:eastAsia="方正仿宋_GBK"/>
          <w:spacing w:val="-30"/>
          <w:sz w:val="32"/>
          <w:szCs w:val="32"/>
        </w:rPr>
        <w:t>大安街道</w:t>
      </w:r>
      <w:r>
        <w:rPr>
          <w:rFonts w:ascii="Times New Roman" w:hAnsi="Times New Roman" w:eastAsia="方正仿宋_GBK"/>
          <w:spacing w:val="-30"/>
          <w:sz w:val="32"/>
          <w:szCs w:val="32"/>
        </w:rPr>
        <w:t>2023</w:t>
      </w:r>
      <w:r>
        <w:rPr>
          <w:rFonts w:ascii="Times New Roman" w:hAnsi="方正仿宋_GBK" w:eastAsia="方正仿宋_GBK"/>
          <w:spacing w:val="-30"/>
          <w:sz w:val="32"/>
          <w:szCs w:val="32"/>
        </w:rPr>
        <w:t>年春节燃放看护</w:t>
      </w:r>
      <w:r>
        <w:rPr>
          <w:rFonts w:ascii="Times New Roman" w:hAnsi="Times New Roman" w:eastAsia="方正仿宋_GBK"/>
          <w:spacing w:val="-30"/>
          <w:sz w:val="32"/>
          <w:szCs w:val="32"/>
        </w:rPr>
        <w:t>“</w:t>
      </w:r>
      <w:r>
        <w:rPr>
          <w:rFonts w:ascii="Times New Roman" w:hAnsi="方正仿宋_GBK" w:eastAsia="方正仿宋_GBK"/>
          <w:spacing w:val="-30"/>
          <w:sz w:val="32"/>
          <w:szCs w:val="32"/>
        </w:rPr>
        <w:t>网格化、实名制</w:t>
      </w:r>
      <w:r>
        <w:rPr>
          <w:rFonts w:ascii="Times New Roman" w:hAnsi="Times New Roman" w:eastAsia="方正仿宋_GBK"/>
          <w:spacing w:val="-30"/>
          <w:sz w:val="32"/>
          <w:szCs w:val="32"/>
        </w:rPr>
        <w:t>”</w:t>
      </w:r>
      <w:r>
        <w:rPr>
          <w:rFonts w:ascii="Times New Roman" w:hAnsi="方正仿宋_GBK" w:eastAsia="方正仿宋_GBK"/>
          <w:spacing w:val="-30"/>
          <w:sz w:val="32"/>
          <w:szCs w:val="32"/>
        </w:rPr>
        <w:t>情况明细表</w:t>
      </w:r>
    </w:p>
    <w:p>
      <w:pPr>
        <w:snapToGrid w:val="0"/>
        <w:spacing w:line="594" w:lineRule="exact"/>
        <w:ind w:firstLine="1600" w:firstLineChars="500"/>
        <w:jc w:val="left"/>
        <w:rPr>
          <w:rFonts w:ascii="Times New Roman" w:hAnsi="Times New Roman" w:eastAsia="方正仿宋_GBK"/>
          <w:spacing w:val="-4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ascii="Times New Roman" w:hAnsi="方正仿宋_GBK" w:eastAsia="方正仿宋_GBK"/>
          <w:spacing w:val="-40"/>
          <w:sz w:val="32"/>
          <w:szCs w:val="32"/>
        </w:rPr>
        <w:t>大安街道</w:t>
      </w:r>
      <w:r>
        <w:rPr>
          <w:rFonts w:ascii="Times New Roman" w:hAnsi="Times New Roman" w:eastAsia="方正仿宋_GBK"/>
          <w:spacing w:val="-40"/>
          <w:sz w:val="32"/>
          <w:szCs w:val="32"/>
        </w:rPr>
        <w:t>2023</w:t>
      </w:r>
      <w:r>
        <w:rPr>
          <w:rFonts w:ascii="Times New Roman" w:hAnsi="方正仿宋_GBK" w:eastAsia="方正仿宋_GBK"/>
          <w:spacing w:val="-40"/>
          <w:sz w:val="32"/>
          <w:szCs w:val="32"/>
        </w:rPr>
        <w:t>年春节期间因燃放烟花爆竹引发火灾情况统计表</w:t>
      </w:r>
    </w:p>
    <w:p>
      <w:pPr>
        <w:snapToGrid w:val="0"/>
        <w:spacing w:line="594" w:lineRule="exact"/>
        <w:ind w:left="1596" w:leftChars="7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ascii="Times New Roman" w:hAnsi="方正仿宋_GBK" w:eastAsia="方正仿宋_GBK"/>
          <w:sz w:val="32"/>
          <w:szCs w:val="32"/>
        </w:rPr>
        <w:t>大安街道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Times New Roman" w:hAnsi="方正仿宋_GBK" w:eastAsia="方正仿宋_GBK"/>
          <w:sz w:val="32"/>
          <w:szCs w:val="32"/>
        </w:rPr>
        <w:t>年春节期间因燃放烟花爆竹引发人身伤害救治情况统计表</w:t>
      </w:r>
    </w:p>
    <w:p>
      <w:pPr>
        <w:snapToGrid w:val="0"/>
        <w:spacing w:line="273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hint="eastAsia" w:ascii="黑体" w:hAnsi="黑体" w:eastAsia="黑体" w:cs="方正仿宋_GBK"/>
          <w:sz w:val="32"/>
          <w:szCs w:val="32"/>
        </w:rPr>
      </w:pPr>
    </w:p>
    <w:p>
      <w:pPr>
        <w:snapToGrid w:val="0"/>
        <w:spacing w:line="273" w:lineRule="auto"/>
        <w:jc w:val="lef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附件1</w:t>
      </w:r>
    </w:p>
    <w:p>
      <w:pPr>
        <w:snapToGrid w:val="0"/>
        <w:spacing w:line="273" w:lineRule="auto"/>
        <w:ind w:firstLine="660"/>
        <w:jc w:val="center"/>
        <w:rPr>
          <w:rFonts w:hint="eastAsia" w:ascii="黑体" w:hAnsi="黑体" w:eastAsia="黑体" w:cs="方正仿宋_GBK"/>
          <w:sz w:val="36"/>
          <w:szCs w:val="36"/>
        </w:rPr>
      </w:pPr>
      <w:r>
        <w:rPr>
          <w:rFonts w:hint="eastAsia" w:ascii="黑体" w:hAnsi="黑体" w:eastAsia="黑体" w:cs="方正仿宋_GBK"/>
          <w:sz w:val="36"/>
          <w:szCs w:val="36"/>
        </w:rPr>
        <w:t>大安街道2023年春节燃放看护“网格化、实名制”情况明细表</w:t>
      </w:r>
    </w:p>
    <w:tbl>
      <w:tblPr>
        <w:tblStyle w:val="4"/>
        <w:tblW w:w="91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874"/>
        <w:gridCol w:w="703"/>
        <w:gridCol w:w="704"/>
        <w:gridCol w:w="703"/>
        <w:gridCol w:w="704"/>
        <w:gridCol w:w="1149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2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网格名称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（如XX街道、XX社区）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网格内管控力量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（人数）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责任领导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警力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党政干部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社会力量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合计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陈家祠社区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李再奎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13983378688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万军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13983490054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冯顺义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13018302446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18983031113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各居民小组长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石庙社区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钟愉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13509417399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闻世万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13527334947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陈德义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13500379441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各居民小组长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茶店社区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邓朝礼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17783193456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郑定坤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13527422819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徐文英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13983761051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各居民小组长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附件2</w:t>
      </w:r>
    </w:p>
    <w:p>
      <w:pPr>
        <w:snapToGrid w:val="0"/>
        <w:spacing w:line="273" w:lineRule="auto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大安街道2023年春节期间因燃放烟花爆竹</w:t>
      </w:r>
    </w:p>
    <w:p>
      <w:pPr>
        <w:snapToGrid w:val="0"/>
        <w:spacing w:line="273" w:lineRule="auto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引发火灾情况统计表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                   填表时间：    年  月  日</w:t>
      </w:r>
    </w:p>
    <w:tbl>
      <w:tblPr>
        <w:tblStyle w:val="4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09"/>
        <w:gridCol w:w="710"/>
        <w:gridCol w:w="710"/>
        <w:gridCol w:w="936"/>
        <w:gridCol w:w="831"/>
        <w:gridCol w:w="831"/>
        <w:gridCol w:w="831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火灾发生地区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火警、火灾数（起）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受灾户数（户）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建筑物受损情况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（平方米）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直接经济损失（元）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总数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火警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火灾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公共建筑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民用建筑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其他建筑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大安街道2023年春节期间因燃放烟花爆竹</w:t>
      </w:r>
    </w:p>
    <w:p>
      <w:pPr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引发人身伤害救治情况统计表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                   填表时间：    年  月  日</w:t>
      </w:r>
    </w:p>
    <w:tbl>
      <w:tblPr>
        <w:tblStyle w:val="4"/>
        <w:tblW w:w="10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95"/>
        <w:gridCol w:w="479"/>
        <w:gridCol w:w="452"/>
        <w:gridCol w:w="1430"/>
        <w:gridCol w:w="1352"/>
        <w:gridCol w:w="757"/>
        <w:gridCol w:w="1332"/>
        <w:gridCol w:w="639"/>
        <w:gridCol w:w="628"/>
        <w:gridCol w:w="621"/>
        <w:gridCol w:w="600"/>
        <w:gridCol w:w="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25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受伤者基本情况</w:t>
            </w:r>
          </w:p>
        </w:tc>
        <w:tc>
          <w:tcPr>
            <w:tcW w:w="135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受伤发生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地点</w:t>
            </w:r>
          </w:p>
        </w:tc>
        <w:tc>
          <w:tcPr>
            <w:tcW w:w="7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受伤部位</w:t>
            </w: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因燃放何种烟花爆竹品种受伤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救治情况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47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救治医院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死亡</w:t>
            </w:r>
          </w:p>
        </w:tc>
        <w:tc>
          <w:tcPr>
            <w:tcW w:w="6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摘除眼球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截肢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E2"/>
    <w:rsid w:val="00115E6E"/>
    <w:rsid w:val="002146EC"/>
    <w:rsid w:val="00360EAE"/>
    <w:rsid w:val="004F482D"/>
    <w:rsid w:val="00501996"/>
    <w:rsid w:val="0050633A"/>
    <w:rsid w:val="006B3E01"/>
    <w:rsid w:val="0092099F"/>
    <w:rsid w:val="00920EE2"/>
    <w:rsid w:val="009363AB"/>
    <w:rsid w:val="00956A2A"/>
    <w:rsid w:val="00A65247"/>
    <w:rsid w:val="00C640E4"/>
    <w:rsid w:val="00E50894"/>
    <w:rsid w:val="00E7263F"/>
    <w:rsid w:val="00E81761"/>
    <w:rsid w:val="00F4415B"/>
    <w:rsid w:val="00F73171"/>
    <w:rsid w:val="1327093D"/>
    <w:rsid w:val="24726AB2"/>
    <w:rsid w:val="31C2662F"/>
    <w:rsid w:val="31E42B5D"/>
    <w:rsid w:val="3F4B1985"/>
    <w:rsid w:val="502C3939"/>
    <w:rsid w:val="55960C9D"/>
    <w:rsid w:val="5C5974FA"/>
    <w:rsid w:val="646A345A"/>
    <w:rsid w:val="747537E1"/>
    <w:rsid w:val="76D13026"/>
    <w:rsid w:val="7B63567F"/>
    <w:rsid w:val="7FA73323"/>
    <w:rsid w:val="FDFF4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530</Words>
  <Characters>3024</Characters>
  <Lines>25</Lines>
  <Paragraphs>7</Paragraphs>
  <TotalTime>1</TotalTime>
  <ScaleCrop>false</ScaleCrop>
  <LinksUpToDate>false</LinksUpToDate>
  <CharactersWithSpaces>3547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2023-01-17T17:47:00Z</dcterms:created>
  <dc:creator>X</dc:creator>
  <cp:lastModifiedBy> </cp:lastModifiedBy>
  <cp:lastPrinted>2021-01-21T20:48:00Z</cp:lastPrinted>
  <dcterms:modified xsi:type="dcterms:W3CDTF">2023-09-27T09:12:37Z</dcterms:modified>
  <dc:title>重庆市永川区大安街道办事处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