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仿宋_GBK"/>
          <w:color w:val="auto"/>
          <w:sz w:val="32"/>
          <w:szCs w:val="24"/>
        </w:rPr>
      </w:pPr>
      <w:bookmarkStart w:id="14" w:name="_GoBack"/>
    </w:p>
    <w:p>
      <w:pPr>
        <w:spacing w:line="594" w:lineRule="exact"/>
        <w:jc w:val="center"/>
        <w:rPr>
          <w:rFonts w:ascii="Times New Roman" w:hAnsi="Times New Roman" w:eastAsia="方正仿宋_GBK"/>
          <w:color w:val="auto"/>
          <w:sz w:val="32"/>
          <w:szCs w:val="24"/>
        </w:rPr>
      </w:pPr>
    </w:p>
    <w:p>
      <w:pPr>
        <w:spacing w:line="594" w:lineRule="exact"/>
        <w:jc w:val="center"/>
        <w:rPr>
          <w:rFonts w:ascii="Times New Roman" w:hAnsi="Times New Roman" w:eastAsia="方正仿宋_GBK"/>
          <w:color w:val="auto"/>
          <w:sz w:val="32"/>
          <w:szCs w:val="24"/>
        </w:rPr>
      </w:pPr>
    </w:p>
    <w:p>
      <w:pPr>
        <w:spacing w:line="594" w:lineRule="exact"/>
        <w:jc w:val="center"/>
        <w:rPr>
          <w:rFonts w:ascii="Times New Roman" w:hAnsi="Times New Roman" w:eastAsia="方正仿宋_GBK"/>
          <w:color w:val="auto"/>
          <w:sz w:val="32"/>
          <w:szCs w:val="24"/>
        </w:rPr>
      </w:pPr>
    </w:p>
    <w:p>
      <w:pPr>
        <w:spacing w:line="594" w:lineRule="exact"/>
        <w:jc w:val="center"/>
        <w:rPr>
          <w:rFonts w:ascii="Times New Roman" w:hAnsi="Times New Roman" w:eastAsia="方正仿宋_GBK"/>
          <w:color w:val="auto"/>
          <w:sz w:val="32"/>
          <w:szCs w:val="24"/>
        </w:rPr>
      </w:pPr>
    </w:p>
    <w:p>
      <w:pPr>
        <w:spacing w:line="594" w:lineRule="exact"/>
        <w:jc w:val="center"/>
        <w:rPr>
          <w:rFonts w:ascii="Times New Roman" w:hAnsi="Times New Roman" w:eastAsia="方正仿宋_GBK"/>
          <w:color w:val="auto"/>
          <w:sz w:val="32"/>
          <w:szCs w:val="24"/>
        </w:rPr>
      </w:pPr>
    </w:p>
    <w:p>
      <w:pPr>
        <w:spacing w:line="594" w:lineRule="exact"/>
        <w:jc w:val="center"/>
        <w:rPr>
          <w:rFonts w:ascii="Times New Roman" w:hAnsi="Times New Roman" w:eastAsia="方正仿宋_GBK"/>
          <w:color w:val="auto"/>
          <w:sz w:val="32"/>
          <w:szCs w:val="24"/>
        </w:rPr>
      </w:pPr>
    </w:p>
    <w:p>
      <w:pPr>
        <w:spacing w:line="276" w:lineRule="auto"/>
        <w:jc w:val="center"/>
        <w:rPr>
          <w:color w:val="auto"/>
        </w:rPr>
      </w:pPr>
      <w:r>
        <w:rPr>
          <w:rFonts w:hint="eastAsia"/>
          <w:color w:val="auto"/>
          <w:lang w:eastAsia="zh-CN"/>
        </w:rPr>
        <w:t>红炉府</w:t>
      </w:r>
      <w:r>
        <w:rPr>
          <w:color w:val="auto"/>
        </w:rPr>
        <w:t>发〔202</w:t>
      </w:r>
      <w:r>
        <w:rPr>
          <w:rFonts w:hint="eastAsia"/>
          <w:color w:val="auto"/>
          <w:lang w:val="en-US" w:eastAsia="zh-CN"/>
        </w:rPr>
        <w:t>4</w:t>
      </w:r>
      <w:r>
        <w:rPr>
          <w:color w:val="auto"/>
        </w:rPr>
        <w:t>〕</w:t>
      </w:r>
      <w:r>
        <w:rPr>
          <w:rFonts w:hint="eastAsia"/>
          <w:color w:val="auto"/>
          <w:lang w:val="en-US" w:eastAsia="zh-CN"/>
        </w:rPr>
        <w:t>35</w:t>
      </w:r>
      <w:r>
        <w:rPr>
          <w:color w:val="auto"/>
        </w:rPr>
        <w:t>号</w:t>
      </w:r>
    </w:p>
    <w:p>
      <w:pPr>
        <w:spacing w:line="276" w:lineRule="auto"/>
        <w:rPr>
          <w:rFonts w:hint="eastAsia" w:hAnsi="方正仿宋_GBK" w:cs="方正仿宋_GBK"/>
          <w:color w:val="auto"/>
        </w:rPr>
      </w:pPr>
    </w:p>
    <w:p>
      <w:pPr>
        <w:widowControl w:val="0"/>
        <w:spacing w:line="594" w:lineRule="exact"/>
        <w:ind w:firstLine="0" w:firstLineChars="0"/>
        <w:jc w:val="center"/>
        <w:rPr>
          <w:rFonts w:ascii="方正小标宋_GBK" w:hAnsi="Times New Roman" w:eastAsia="方正小标宋_GBK" w:cs="Times New Roman"/>
          <w:snapToGrid w:val="0"/>
          <w:color w:val="auto"/>
          <w:spacing w:val="-20"/>
          <w:kern w:val="2"/>
          <w:sz w:val="44"/>
          <w:szCs w:val="24"/>
        </w:rPr>
      </w:pPr>
      <w:r>
        <w:rPr>
          <w:rFonts w:hint="eastAsia" w:ascii="方正小标宋_GBK" w:hAnsi="Times New Roman" w:eastAsia="方正小标宋_GBK" w:cs="Times New Roman"/>
          <w:snapToGrid w:val="0"/>
          <w:color w:val="auto"/>
          <w:spacing w:val="-20"/>
          <w:kern w:val="2"/>
          <w:sz w:val="44"/>
          <w:szCs w:val="24"/>
        </w:rPr>
        <w:t>重庆市永川区</w:t>
      </w:r>
      <w:r>
        <w:rPr>
          <w:rFonts w:hint="eastAsia" w:ascii="方正小标宋_GBK" w:hAnsi="Times New Roman" w:eastAsia="方正小标宋_GBK" w:cs="Times New Roman"/>
          <w:snapToGrid w:val="0"/>
          <w:color w:val="auto"/>
          <w:spacing w:val="-20"/>
          <w:kern w:val="2"/>
          <w:sz w:val="44"/>
          <w:szCs w:val="24"/>
          <w:lang w:eastAsia="zh-CN"/>
        </w:rPr>
        <w:t>红炉镇</w:t>
      </w:r>
      <w:r>
        <w:rPr>
          <w:rFonts w:hint="eastAsia" w:ascii="方正小标宋_GBK" w:hAnsi="Times New Roman" w:eastAsia="方正小标宋_GBK" w:cs="Times New Roman"/>
          <w:snapToGrid w:val="0"/>
          <w:color w:val="auto"/>
          <w:spacing w:val="-20"/>
          <w:kern w:val="2"/>
          <w:sz w:val="44"/>
          <w:szCs w:val="24"/>
        </w:rPr>
        <w:t>人民政府</w:t>
      </w:r>
    </w:p>
    <w:p>
      <w:pPr>
        <w:widowControl w:val="0"/>
        <w:spacing w:line="594" w:lineRule="exact"/>
        <w:ind w:firstLine="0" w:firstLineChars="0"/>
        <w:jc w:val="center"/>
        <w:rPr>
          <w:rFonts w:hint="eastAsia" w:ascii="方正小标宋_GBK" w:hAnsi="Times New Roman" w:eastAsia="方正小标宋_GBK" w:cs="Times New Roman"/>
          <w:snapToGrid w:val="0"/>
          <w:color w:val="auto"/>
          <w:spacing w:val="-20"/>
          <w:kern w:val="2"/>
          <w:sz w:val="44"/>
          <w:szCs w:val="24"/>
        </w:rPr>
      </w:pPr>
      <w:r>
        <w:rPr>
          <w:rFonts w:hint="eastAsia" w:ascii="方正小标宋_GBK" w:hAnsi="Times New Roman" w:eastAsia="方正小标宋_GBK" w:cs="Times New Roman"/>
          <w:snapToGrid w:val="0"/>
          <w:color w:val="auto"/>
          <w:spacing w:val="-20"/>
          <w:kern w:val="2"/>
          <w:sz w:val="44"/>
          <w:szCs w:val="24"/>
        </w:rPr>
        <w:t>关于印发</w:t>
      </w:r>
      <w:r>
        <w:rPr>
          <w:rFonts w:hint="eastAsia" w:ascii="方正小标宋_GBK" w:hAnsi="Times New Roman" w:eastAsia="方正小标宋_GBK" w:cs="Times New Roman"/>
          <w:snapToGrid w:val="0"/>
          <w:color w:val="auto"/>
          <w:spacing w:val="-20"/>
          <w:kern w:val="2"/>
          <w:sz w:val="44"/>
          <w:szCs w:val="24"/>
          <w:lang w:eastAsia="zh-CN"/>
        </w:rPr>
        <w:t>《红炉镇</w:t>
      </w:r>
      <w:r>
        <w:rPr>
          <w:rFonts w:hint="eastAsia" w:ascii="方正小标宋_GBK" w:hAnsi="Times New Roman" w:eastAsia="方正小标宋_GBK" w:cs="Times New Roman"/>
          <w:snapToGrid w:val="0"/>
          <w:color w:val="auto"/>
          <w:spacing w:val="-20"/>
          <w:kern w:val="2"/>
          <w:sz w:val="44"/>
          <w:szCs w:val="24"/>
        </w:rPr>
        <w:t>自然灾害救助应急预案</w:t>
      </w:r>
      <w:r>
        <w:rPr>
          <w:rFonts w:hint="eastAsia" w:ascii="方正小标宋_GBK" w:hAnsi="Times New Roman" w:eastAsia="方正小标宋_GBK" w:cs="Times New Roman"/>
          <w:snapToGrid w:val="0"/>
          <w:color w:val="auto"/>
          <w:spacing w:val="-20"/>
          <w:kern w:val="2"/>
          <w:sz w:val="44"/>
          <w:szCs w:val="24"/>
          <w:lang w:eastAsia="zh-CN"/>
        </w:rPr>
        <w:t>》</w:t>
      </w:r>
      <w:r>
        <w:rPr>
          <w:rFonts w:hint="eastAsia" w:ascii="方正小标宋_GBK" w:hAnsi="Times New Roman" w:eastAsia="方正小标宋_GBK" w:cs="Times New Roman"/>
          <w:snapToGrid w:val="0"/>
          <w:color w:val="auto"/>
          <w:spacing w:val="-20"/>
          <w:kern w:val="2"/>
          <w:sz w:val="44"/>
          <w:szCs w:val="24"/>
        </w:rPr>
        <w:t>的通知</w:t>
      </w:r>
    </w:p>
    <w:p>
      <w:pPr>
        <w:widowControl w:val="0"/>
        <w:spacing w:line="594" w:lineRule="exact"/>
        <w:ind w:firstLine="0" w:firstLineChars="0"/>
        <w:jc w:val="both"/>
        <w:rPr>
          <w:rFonts w:hint="eastAsia" w:hAnsi="Times New Roman" w:eastAsia="宋体" w:cs="Times New Roman"/>
          <w:snapToGrid w:val="0"/>
          <w:color w:val="auto"/>
          <w:kern w:val="2"/>
          <w:szCs w:val="24"/>
        </w:rPr>
      </w:pPr>
    </w:p>
    <w:p>
      <w:pPr>
        <w:widowControl w:val="0"/>
        <w:spacing w:line="594" w:lineRule="exact"/>
        <w:ind w:firstLine="0" w:firstLineChars="0"/>
        <w:jc w:val="both"/>
        <w:rPr>
          <w:rFonts w:hint="eastAsia" w:hAnsi="方正仿宋_GBK" w:cs="方正仿宋_GBK"/>
          <w:color w:val="auto"/>
          <w:kern w:val="2"/>
        </w:rPr>
      </w:pPr>
      <w:r>
        <w:rPr>
          <w:rFonts w:hint="eastAsia" w:hAnsi="方正仿宋_GBK" w:cs="方正仿宋_GBK"/>
          <w:color w:val="auto"/>
          <w:kern w:val="2"/>
        </w:rPr>
        <w:t>各村（社区）、各企（事）业单位</w:t>
      </w:r>
      <w:r>
        <w:rPr>
          <w:rFonts w:hint="eastAsia" w:hAnsi="方正仿宋_GBK" w:cs="方正仿宋_GBK"/>
          <w:color w:val="auto"/>
          <w:kern w:val="2"/>
          <w:lang w:eastAsia="zh-CN"/>
        </w:rPr>
        <w:t>、</w:t>
      </w:r>
      <w:r>
        <w:rPr>
          <w:rFonts w:hint="eastAsia" w:hAnsi="方正仿宋_GBK" w:cs="方正仿宋_GBK"/>
          <w:color w:val="auto"/>
          <w:kern w:val="2"/>
        </w:rPr>
        <w:t>镇属各部门：</w:t>
      </w:r>
    </w:p>
    <w:p>
      <w:pPr>
        <w:widowControl w:val="0"/>
        <w:spacing w:line="594" w:lineRule="exact"/>
        <w:jc w:val="both"/>
        <w:rPr>
          <w:rFonts w:hint="eastAsia" w:hAnsi="方正仿宋_GBK" w:cs="方正仿宋_GBK"/>
          <w:color w:val="auto"/>
          <w:kern w:val="2"/>
        </w:rPr>
      </w:pPr>
      <w:r>
        <w:rPr>
          <w:rFonts w:hint="eastAsia" w:hAnsi="方正仿宋_GBK" w:cs="方正仿宋_GBK"/>
          <w:color w:val="auto"/>
          <w:kern w:val="2"/>
        </w:rPr>
        <w:t>现将《红炉镇自然灾害救助应急预案》印发给你们，请认真</w:t>
      </w:r>
      <w:r>
        <w:rPr>
          <w:rFonts w:hint="eastAsia" w:hAnsi="方正仿宋_GBK" w:cs="方正仿宋_GBK"/>
          <w:color w:val="auto"/>
          <w:kern w:val="2"/>
          <w:lang w:eastAsia="zh-CN"/>
        </w:rPr>
        <w:t>执行</w:t>
      </w:r>
      <w:r>
        <w:rPr>
          <w:rFonts w:hint="eastAsia" w:hAnsi="方正仿宋_GBK" w:cs="方正仿宋_GBK"/>
          <w:color w:val="auto"/>
          <w:kern w:val="2"/>
        </w:rPr>
        <w:t>，切实抓好自然灾害应急管理和处置工作，最大限度减少人民群众生命财产损失。</w:t>
      </w:r>
    </w:p>
    <w:p>
      <w:pPr>
        <w:widowControl w:val="0"/>
        <w:spacing w:line="594" w:lineRule="exact"/>
        <w:jc w:val="both"/>
        <w:rPr>
          <w:rFonts w:hint="eastAsia" w:hAnsi="方正仿宋_GBK" w:cs="方正仿宋_GBK"/>
          <w:color w:val="auto"/>
          <w:kern w:val="2"/>
        </w:rPr>
      </w:pPr>
      <w:r>
        <w:rPr>
          <w:rFonts w:hint="eastAsia" w:hAnsi="方正仿宋_GBK" w:cs="方正仿宋_GBK"/>
          <w:color w:val="auto"/>
          <w:kern w:val="2"/>
        </w:rPr>
        <w:t xml:space="preserve">                     </w:t>
      </w:r>
    </w:p>
    <w:p>
      <w:pPr>
        <w:widowControl w:val="0"/>
        <w:spacing w:line="594" w:lineRule="exact"/>
        <w:jc w:val="right"/>
        <w:rPr>
          <w:rFonts w:hint="eastAsia" w:hAnsi="方正仿宋_GBK" w:cs="方正仿宋_GBK"/>
          <w:color w:val="auto"/>
          <w:kern w:val="2"/>
        </w:rPr>
      </w:pPr>
      <w:r>
        <w:rPr>
          <w:rFonts w:hint="eastAsia" w:hAnsi="方正仿宋_GBK" w:cs="方正仿宋_GBK"/>
          <w:color w:val="auto"/>
          <w:kern w:val="2"/>
        </w:rPr>
        <w:t xml:space="preserve">  </w:t>
      </w:r>
    </w:p>
    <w:p>
      <w:pPr>
        <w:widowControl w:val="0"/>
        <w:spacing w:line="594" w:lineRule="exact"/>
        <w:jc w:val="right"/>
        <w:rPr>
          <w:rFonts w:hint="eastAsia" w:hAnsi="方正仿宋_GBK" w:cs="方正仿宋_GBK"/>
          <w:color w:val="auto"/>
          <w:kern w:val="2"/>
        </w:rPr>
      </w:pPr>
      <w:r>
        <w:rPr>
          <w:rFonts w:hint="eastAsia" w:hAnsi="方正仿宋_GBK" w:cs="方正仿宋_GBK"/>
          <w:color w:val="auto"/>
          <w:kern w:val="2"/>
        </w:rPr>
        <w:t>重庆市永川区</w:t>
      </w:r>
      <w:r>
        <w:rPr>
          <w:rFonts w:hint="eastAsia" w:hAnsi="方正仿宋_GBK" w:cs="方正仿宋_GBK"/>
          <w:color w:val="auto"/>
          <w:kern w:val="2"/>
          <w:lang w:eastAsia="zh-CN"/>
        </w:rPr>
        <w:t>红炉镇</w:t>
      </w:r>
      <w:r>
        <w:rPr>
          <w:rFonts w:hint="eastAsia" w:hAnsi="方正仿宋_GBK" w:cs="方正仿宋_GBK"/>
          <w:color w:val="auto"/>
          <w:kern w:val="2"/>
        </w:rPr>
        <w:t xml:space="preserve">人民政府 </w:t>
      </w:r>
    </w:p>
    <w:p>
      <w:pPr>
        <w:widowControl w:val="0"/>
        <w:spacing w:line="594" w:lineRule="exact"/>
        <w:jc w:val="center"/>
        <w:rPr>
          <w:rFonts w:hint="eastAsia" w:hAnsi="方正仿宋_GBK" w:cs="方正仿宋_GBK"/>
          <w:color w:val="auto"/>
          <w:kern w:val="2"/>
        </w:rPr>
      </w:pPr>
      <w:r>
        <w:rPr>
          <w:rFonts w:hint="eastAsia" w:hAnsi="方正仿宋_GBK" w:cs="方正仿宋_GBK"/>
          <w:color w:val="auto"/>
          <w:kern w:val="2"/>
          <w:lang w:val="en-US" w:eastAsia="zh-CN"/>
        </w:rPr>
        <w:t xml:space="preserve">                           </w:t>
      </w:r>
      <w:r>
        <w:rPr>
          <w:rFonts w:hint="eastAsia" w:hAnsi="方正仿宋_GBK" w:cs="方正仿宋_GBK"/>
          <w:color w:val="auto"/>
          <w:kern w:val="2"/>
        </w:rPr>
        <w:t>202</w:t>
      </w:r>
      <w:r>
        <w:rPr>
          <w:rFonts w:hint="eastAsia" w:hAnsi="方正仿宋_GBK" w:cs="方正仿宋_GBK"/>
          <w:color w:val="auto"/>
          <w:kern w:val="2"/>
          <w:lang w:val="en-US" w:eastAsia="zh-CN"/>
        </w:rPr>
        <w:t>4</w:t>
      </w:r>
      <w:r>
        <w:rPr>
          <w:rFonts w:hint="eastAsia" w:hAnsi="方正仿宋_GBK" w:cs="方正仿宋_GBK"/>
          <w:color w:val="auto"/>
          <w:kern w:val="2"/>
        </w:rPr>
        <w:t>年</w:t>
      </w:r>
      <w:r>
        <w:rPr>
          <w:rFonts w:hint="eastAsia" w:hAnsi="方正仿宋_GBK" w:cs="方正仿宋_GBK"/>
          <w:color w:val="auto"/>
          <w:kern w:val="2"/>
          <w:lang w:val="en-US" w:eastAsia="zh-CN"/>
        </w:rPr>
        <w:t>11</w:t>
      </w:r>
      <w:r>
        <w:rPr>
          <w:rFonts w:hint="eastAsia" w:hAnsi="方正仿宋_GBK" w:cs="方正仿宋_GBK"/>
          <w:color w:val="auto"/>
          <w:kern w:val="2"/>
        </w:rPr>
        <w:t>月</w:t>
      </w:r>
      <w:r>
        <w:rPr>
          <w:rFonts w:hint="eastAsia" w:hAnsi="方正仿宋_GBK" w:cs="方正仿宋_GBK"/>
          <w:color w:val="auto"/>
          <w:kern w:val="2"/>
          <w:lang w:val="en-US" w:eastAsia="zh-CN"/>
        </w:rPr>
        <w:t>29</w:t>
      </w:r>
      <w:r>
        <w:rPr>
          <w:rFonts w:hint="eastAsia" w:hAnsi="方正仿宋_GBK" w:cs="方正仿宋_GBK"/>
          <w:color w:val="auto"/>
          <w:kern w:val="2"/>
        </w:rPr>
        <w:t>日</w:t>
      </w:r>
    </w:p>
    <w:p>
      <w:pPr>
        <w:widowControl w:val="0"/>
        <w:spacing w:line="594" w:lineRule="exact"/>
        <w:jc w:val="both"/>
        <w:rPr>
          <w:rFonts w:hint="eastAsia" w:ascii="Times New Roman" w:hAnsi="Times New Roman" w:eastAsia="方正小标宋_GBK" w:cs="Times New Roman"/>
          <w:color w:val="auto"/>
          <w:sz w:val="44"/>
          <w:szCs w:val="44"/>
        </w:rPr>
      </w:pPr>
      <w:r>
        <w:rPr>
          <w:rFonts w:hint="eastAsia" w:hAnsi="方正仿宋_GBK" w:cs="方正仿宋_GBK"/>
          <w:color w:val="auto"/>
          <w:kern w:val="2"/>
        </w:rPr>
        <w:t>（此件公开发布）</w:t>
      </w:r>
    </w:p>
    <w:p>
      <w:pPr>
        <w:widowControl w:val="0"/>
        <w:adjustRightInd/>
        <w:snapToGrid w:val="0"/>
        <w:spacing w:line="594" w:lineRule="exact"/>
        <w:ind w:firstLine="0" w:firstLineChars="0"/>
        <w:jc w:val="center"/>
        <w:rPr>
          <w:rFonts w:ascii="Times New Roman" w:hAnsi="Times New Roman" w:eastAsia="方正小标宋_GBK" w:cs="方正小标宋_GBK"/>
          <w:color w:val="auto"/>
          <w:kern w:val="2"/>
          <w:sz w:val="44"/>
          <w:szCs w:val="44"/>
        </w:rPr>
      </w:pPr>
      <w:r>
        <w:rPr>
          <w:rFonts w:ascii="Times New Roman" w:hAnsi="Times New Roman" w:eastAsia="方正小标宋_GBK" w:cs="Times New Roman"/>
          <w:color w:val="auto"/>
          <w:sz w:val="44"/>
          <w:szCs w:val="44"/>
        </w:rPr>
        <w:br w:type="page"/>
      </w:r>
      <w:r>
        <w:rPr>
          <w:rFonts w:hint="eastAsia" w:ascii="Times New Roman" w:hAnsi="Times New Roman" w:eastAsia="方正小标宋_GBK" w:cs="方正小标宋_GBK"/>
          <w:color w:val="auto"/>
          <w:kern w:val="2"/>
          <w:sz w:val="44"/>
          <w:szCs w:val="44"/>
          <w:lang w:eastAsia="zh-CN"/>
        </w:rPr>
        <w:t>红炉镇</w:t>
      </w:r>
      <w:r>
        <w:rPr>
          <w:rFonts w:hint="eastAsia" w:ascii="Times New Roman" w:hAnsi="Times New Roman" w:eastAsia="方正小标宋_GBK" w:cs="方正小标宋_GBK"/>
          <w:color w:val="auto"/>
          <w:kern w:val="2"/>
          <w:sz w:val="44"/>
          <w:szCs w:val="44"/>
        </w:rPr>
        <w:t>自然灾害救助应急预案</w:t>
      </w:r>
    </w:p>
    <w:p>
      <w:pPr>
        <w:ind w:left="0" w:leftChars="0" w:firstLine="0" w:firstLineChars="0"/>
        <w:rPr>
          <w:rFonts w:ascii="Times New Roman" w:hAnsi="Times New Roman" w:cs="Times New Roman"/>
          <w:color w:val="auto"/>
        </w:rPr>
      </w:pPr>
      <w:r>
        <w:rPr>
          <w:rFonts w:ascii="Times New Roman" w:hAnsi="Times New Roman" w:cs="Times New Roman"/>
          <w:color w:val="auto"/>
        </w:rPr>
        <w:t xml:space="preserve">                </w:t>
      </w:r>
    </w:p>
    <w:p>
      <w:pPr>
        <w:pageBreakBefore w:val="0"/>
        <w:widowControl/>
        <w:kinsoku/>
        <w:wordWrap/>
        <w:overflowPunct/>
        <w:topLinePunct w:val="0"/>
        <w:autoSpaceDN/>
        <w:bidi w:val="0"/>
        <w:adjustRightInd/>
        <w:snapToGrid/>
        <w:spacing w:line="594" w:lineRule="exact"/>
        <w:ind w:left="0" w:leftChars="0" w:firstLine="640" w:firstLineChars="200"/>
        <w:jc w:val="both"/>
        <w:textAlignment w:val="auto"/>
        <w:rPr>
          <w:rFonts w:ascii="Times New Roman" w:hAnsi="Times New Roman" w:eastAsia="方正黑体_GBK" w:cs="Times New Roman"/>
          <w:bCs/>
          <w:color w:val="auto"/>
        </w:rPr>
      </w:pPr>
      <w:bookmarkStart w:id="0" w:name="_Toc1623"/>
      <w:r>
        <w:rPr>
          <w:rFonts w:ascii="Times New Roman" w:hAnsi="Times New Roman" w:eastAsia="方正黑体_GBK" w:cs="Times New Roman"/>
          <w:bCs/>
          <w:color w:val="auto"/>
        </w:rPr>
        <w:t>1 总则</w:t>
      </w:r>
      <w:bookmarkEnd w:id="0"/>
    </w:p>
    <w:p>
      <w:pPr>
        <w:pStyle w:val="3"/>
        <w:pageBreakBefore w:val="0"/>
        <w:widowControl/>
        <w:shd w:val="clear" w:color="auto" w:fill="auto"/>
        <w:kinsoku/>
        <w:wordWrap/>
        <w:overflowPunct/>
        <w:topLinePunct w:val="0"/>
        <w:autoSpaceDN/>
        <w:bidi w:val="0"/>
        <w:spacing w:line="594" w:lineRule="exact"/>
        <w:jc w:val="both"/>
        <w:textAlignment w:val="auto"/>
        <w:rPr>
          <w:color w:val="auto"/>
        </w:rPr>
      </w:pPr>
      <w:bookmarkStart w:id="1" w:name="_Toc29353"/>
      <w:r>
        <w:rPr>
          <w:color w:val="auto"/>
        </w:rPr>
        <w:t>1.1</w:t>
      </w:r>
      <w:r>
        <w:rPr>
          <w:rFonts w:eastAsia="宋体"/>
          <w:color w:val="auto"/>
        </w:rPr>
        <w:t> </w:t>
      </w:r>
      <w:r>
        <w:rPr>
          <w:color w:val="auto"/>
        </w:rPr>
        <w:t>编制目的</w:t>
      </w:r>
      <w:bookmarkEnd w:id="1"/>
    </w:p>
    <w:p>
      <w:pPr>
        <w:pStyle w:val="3"/>
        <w:pageBreakBefore w:val="0"/>
        <w:widowControl/>
        <w:shd w:val="clear" w:color="auto" w:fill="auto"/>
        <w:kinsoku/>
        <w:wordWrap/>
        <w:overflowPunct/>
        <w:topLinePunct w:val="0"/>
        <w:autoSpaceDN/>
        <w:bidi w:val="0"/>
        <w:spacing w:line="594" w:lineRule="exact"/>
        <w:jc w:val="both"/>
        <w:textAlignment w:val="auto"/>
        <w:rPr>
          <w:rFonts w:hint="eastAsia" w:ascii="Times New Roman" w:hAnsi="Times New Roman" w:eastAsia="方正仿宋_GBK" w:cs="Times New Roman"/>
          <w:b w:val="0"/>
          <w:color w:val="auto"/>
          <w:sz w:val="32"/>
          <w:szCs w:val="32"/>
          <w:lang w:val="en-US" w:eastAsia="zh-CN" w:bidi="ar-SA"/>
        </w:rPr>
      </w:pPr>
      <w:bookmarkStart w:id="2" w:name="_Toc9346"/>
      <w:r>
        <w:rPr>
          <w:rFonts w:hint="eastAsia" w:ascii="Times New Roman" w:hAnsi="Times New Roman" w:eastAsia="方正仿宋_GBK" w:cs="Times New Roman"/>
          <w:b w:val="0"/>
          <w:color w:val="auto"/>
          <w:sz w:val="32"/>
          <w:szCs w:val="32"/>
          <w:lang w:val="en-US" w:eastAsia="zh-CN" w:bidi="ar-SA"/>
        </w:rPr>
        <w:t>进一步健全全镇自然灾害救助体系和运行机制，规范应急救助行为，提高应急救助能力，高效有序实施紧急救助，最大程度减少人员伤亡和财产损失，维护辖区社会稳定。</w:t>
      </w:r>
    </w:p>
    <w:p>
      <w:pPr>
        <w:pStyle w:val="3"/>
        <w:pageBreakBefore w:val="0"/>
        <w:widowControl/>
        <w:shd w:val="clear" w:color="auto" w:fill="auto"/>
        <w:kinsoku/>
        <w:wordWrap/>
        <w:overflowPunct/>
        <w:topLinePunct w:val="0"/>
        <w:autoSpaceDN/>
        <w:bidi w:val="0"/>
        <w:spacing w:line="594" w:lineRule="exact"/>
        <w:jc w:val="both"/>
        <w:textAlignment w:val="auto"/>
        <w:rPr>
          <w:color w:val="auto"/>
        </w:rPr>
      </w:pPr>
      <w:r>
        <w:rPr>
          <w:color w:val="auto"/>
        </w:rPr>
        <w:t>1.2</w:t>
      </w:r>
      <w:r>
        <w:rPr>
          <w:rFonts w:eastAsia="宋体"/>
          <w:color w:val="auto"/>
        </w:rPr>
        <w:t> </w:t>
      </w:r>
      <w:r>
        <w:rPr>
          <w:color w:val="auto"/>
        </w:rPr>
        <w:t>编制依据</w:t>
      </w:r>
      <w:bookmarkEnd w:id="2"/>
    </w:p>
    <w:p>
      <w:pPr>
        <w:pStyle w:val="3"/>
        <w:pageBreakBefore w:val="0"/>
        <w:widowControl/>
        <w:shd w:val="clear" w:color="auto" w:fill="auto"/>
        <w:kinsoku/>
        <w:wordWrap/>
        <w:overflowPunct/>
        <w:topLinePunct w:val="0"/>
        <w:autoSpaceDN/>
        <w:bidi w:val="0"/>
        <w:spacing w:line="594" w:lineRule="exact"/>
        <w:jc w:val="both"/>
        <w:textAlignment w:val="auto"/>
        <w:rPr>
          <w:rFonts w:hint="eastAsia" w:ascii="Times New Roman" w:hAnsi="Times New Roman" w:eastAsia="方正仿宋_GBK" w:cs="Times New Roman"/>
          <w:b w:val="0"/>
          <w:color w:val="auto"/>
          <w:sz w:val="32"/>
          <w:szCs w:val="32"/>
          <w:lang w:val="en-US" w:eastAsia="zh-CN" w:bidi="ar-SA"/>
        </w:rPr>
      </w:pPr>
      <w:bookmarkStart w:id="3" w:name="_Toc23229"/>
      <w:r>
        <w:rPr>
          <w:rFonts w:hint="eastAsia" w:ascii="Times New Roman" w:hAnsi="Times New Roman" w:eastAsia="方正仿宋_GBK" w:cs="Times New Roman"/>
          <w:b w:val="0"/>
          <w:color w:val="auto"/>
          <w:sz w:val="32"/>
          <w:szCs w:val="32"/>
          <w:lang w:val="en-US" w:eastAsia="zh-CN" w:bidi="ar-SA"/>
        </w:rPr>
        <w:t>根据《中华人民共和国突发事件应对法》《中华人民共和国防洪法》《中华人民共和国防震减灾法》《中华人民共和国气象法》《中华人民共和国森林法》《中华人民共和国慈善法》《中华人民共和国红十字会法》《自然灾害救助条例》《重庆市突发事件应对条例》等法律法规和《国家突发公共事件总体应急预案》《国家自然灾害救助应急预案》《重庆市突发事件总体应急预案》《重庆市自然灾害救助应急预案》《永川区突发公共事件综合应急预案》等有关规定，制定本预案。</w:t>
      </w:r>
    </w:p>
    <w:p>
      <w:pPr>
        <w:pStyle w:val="3"/>
        <w:pageBreakBefore w:val="0"/>
        <w:widowControl/>
        <w:shd w:val="clear" w:color="auto" w:fill="auto"/>
        <w:kinsoku/>
        <w:wordWrap/>
        <w:overflowPunct/>
        <w:topLinePunct w:val="0"/>
        <w:autoSpaceDN/>
        <w:bidi w:val="0"/>
        <w:spacing w:line="594" w:lineRule="exact"/>
        <w:jc w:val="both"/>
        <w:textAlignment w:val="auto"/>
        <w:rPr>
          <w:color w:val="auto"/>
        </w:rPr>
      </w:pPr>
      <w:r>
        <w:rPr>
          <w:color w:val="auto"/>
        </w:rPr>
        <w:t>1.3</w:t>
      </w:r>
      <w:r>
        <w:rPr>
          <w:rFonts w:eastAsia="宋体"/>
          <w:color w:val="auto"/>
        </w:rPr>
        <w:t> </w:t>
      </w:r>
      <w:r>
        <w:rPr>
          <w:color w:val="auto"/>
        </w:rPr>
        <w:t>适用范围</w:t>
      </w:r>
      <w:bookmarkEnd w:id="3"/>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全</w:t>
      </w:r>
      <w:r>
        <w:rPr>
          <w:rFonts w:hint="eastAsia"/>
          <w:color w:val="auto"/>
          <w:szCs w:val="32"/>
          <w:lang w:eastAsia="zh-CN"/>
        </w:rPr>
        <w:t>镇</w:t>
      </w:r>
      <w:r>
        <w:rPr>
          <w:color w:val="auto"/>
          <w:szCs w:val="32"/>
        </w:rPr>
        <w:t>区域内发生</w:t>
      </w:r>
      <w:r>
        <w:rPr>
          <w:rFonts w:hint="eastAsia"/>
          <w:color w:val="auto"/>
          <w:szCs w:val="32"/>
        </w:rPr>
        <w:t>一般及</w:t>
      </w:r>
      <w:r>
        <w:rPr>
          <w:rFonts w:hint="eastAsia" w:hAnsi="宋体" w:cs="宋体"/>
          <w:color w:val="auto"/>
        </w:rPr>
        <w:t>以上</w:t>
      </w:r>
      <w:r>
        <w:rPr>
          <w:rFonts w:hAnsi="宋体" w:cs="宋体"/>
          <w:color w:val="auto"/>
        </w:rPr>
        <w:t>自然灾害，达</w:t>
      </w:r>
      <w:r>
        <w:rPr>
          <w:color w:val="auto"/>
        </w:rPr>
        <w:t>到救助启动条件，适用本预案。</w:t>
      </w:r>
      <w:bookmarkStart w:id="4" w:name="_Toc1068"/>
    </w:p>
    <w:p>
      <w:pPr>
        <w:pageBreakBefore w:val="0"/>
        <w:widowControl/>
        <w:kinsoku/>
        <w:wordWrap/>
        <w:overflowPunct/>
        <w:topLinePunct w:val="0"/>
        <w:autoSpaceDN/>
        <w:bidi w:val="0"/>
        <w:snapToGrid w:val="0"/>
        <w:spacing w:line="594" w:lineRule="exact"/>
        <w:ind w:firstLine="640" w:firstLineChars="200"/>
        <w:textAlignment w:val="auto"/>
        <w:rPr>
          <w:rFonts w:ascii="Times New Roman" w:hAnsi="Times New Roman" w:eastAsia="方正楷体_GBK" w:cs="Times New Roman"/>
          <w:b w:val="0"/>
          <w:bCs/>
          <w:color w:val="auto"/>
          <w:sz w:val="32"/>
          <w:szCs w:val="32"/>
          <w:lang w:val="en-US" w:eastAsia="zh-CN" w:bidi="ar-SA"/>
        </w:rPr>
      </w:pPr>
      <w:r>
        <w:rPr>
          <w:rFonts w:ascii="Times New Roman" w:hAnsi="Times New Roman" w:eastAsia="方正楷体_GBK" w:cs="Times New Roman"/>
          <w:b w:val="0"/>
          <w:bCs/>
          <w:color w:val="auto"/>
          <w:sz w:val="32"/>
          <w:szCs w:val="32"/>
          <w:lang w:val="en-US" w:eastAsia="zh-CN" w:bidi="ar-SA"/>
        </w:rPr>
        <w:t>1.4 工作原则</w:t>
      </w:r>
      <w:bookmarkEnd w:id="4"/>
      <w:bookmarkStart w:id="5" w:name="_Toc21806"/>
    </w:p>
    <w:p>
      <w:pPr>
        <w:pageBreakBefore w:val="0"/>
        <w:widowControl/>
        <w:kinsoku/>
        <w:wordWrap/>
        <w:overflowPunct/>
        <w:topLinePunct w:val="0"/>
        <w:autoSpaceDN/>
        <w:bidi w:val="0"/>
        <w:snapToGrid w:val="0"/>
        <w:spacing w:line="594" w:lineRule="exact"/>
        <w:ind w:firstLine="640" w:firstLineChars="200"/>
        <w:textAlignment w:val="auto"/>
        <w:rPr>
          <w:rFonts w:hint="eastAsia" w:ascii="Times New Roman" w:hAnsi="Times New Roman" w:eastAsia="方正仿宋_GBK" w:cs="Times New Roman"/>
          <w:b w:val="0"/>
          <w:color w:val="auto"/>
          <w:sz w:val="32"/>
          <w:szCs w:val="32"/>
          <w:lang w:val="en-US" w:eastAsia="zh-CN" w:bidi="ar-SA"/>
        </w:rPr>
      </w:pPr>
      <w:r>
        <w:rPr>
          <w:rFonts w:hint="eastAsia" w:ascii="Times New Roman" w:hAnsi="Times New Roman" w:eastAsia="方正仿宋_GBK" w:cs="Times New Roman"/>
          <w:b w:val="0"/>
          <w:color w:val="auto"/>
          <w:sz w:val="32"/>
          <w:szCs w:val="32"/>
          <w:lang w:val="en-US" w:eastAsia="zh-CN" w:bidi="ar-SA"/>
        </w:rPr>
        <w:t>坚持以人为本，最大程度地保护人民群众生命和财产安全；坚持统一指挥、分级负责，以属地为主；坚持依靠群众，充分发挥基层群众性自治组织和公益性社会组织的作用；坚持灾前防范、灾中救援、灾后救助统筹安排，实现全过程管理。</w:t>
      </w:r>
    </w:p>
    <w:bookmarkEnd w:id="5"/>
    <w:p>
      <w:pPr>
        <w:pageBreakBefore w:val="0"/>
        <w:widowControl/>
        <w:kinsoku/>
        <w:wordWrap/>
        <w:overflowPunct/>
        <w:topLinePunct w:val="0"/>
        <w:autoSpaceDE/>
        <w:autoSpaceDN/>
        <w:bidi w:val="0"/>
        <w:adjustRightInd w:val="0"/>
        <w:snapToGrid w:val="0"/>
        <w:spacing w:line="594" w:lineRule="exact"/>
        <w:ind w:firstLine="640" w:firstLineChars="200"/>
        <w:textAlignment w:val="auto"/>
        <w:rPr>
          <w:rFonts w:eastAsia="方正黑体_GBK"/>
          <w:color w:val="auto"/>
          <w:szCs w:val="32"/>
        </w:rPr>
      </w:pPr>
      <w:bookmarkStart w:id="6" w:name="_Toc9517"/>
      <w:r>
        <w:rPr>
          <w:rFonts w:eastAsia="方正黑体_GBK"/>
          <w:color w:val="auto"/>
          <w:szCs w:val="32"/>
        </w:rPr>
        <w:t>2　组织指挥体系</w:t>
      </w:r>
    </w:p>
    <w:p>
      <w:pPr>
        <w:pStyle w:val="3"/>
        <w:pageBreakBefore w:val="0"/>
        <w:widowControl/>
        <w:shd w:val="clear" w:color="auto" w:fill="auto"/>
        <w:kinsoku/>
        <w:wordWrap/>
        <w:overflowPunct/>
        <w:topLinePunct w:val="0"/>
        <w:autoSpaceDE/>
        <w:autoSpaceDN/>
        <w:bidi w:val="0"/>
        <w:adjustRightInd w:val="0"/>
        <w:snapToGrid w:val="0"/>
        <w:spacing w:line="594" w:lineRule="exact"/>
        <w:jc w:val="both"/>
        <w:textAlignment w:val="auto"/>
        <w:rPr>
          <w:color w:val="auto"/>
        </w:rPr>
      </w:pPr>
      <w:r>
        <w:rPr>
          <w:color w:val="auto"/>
        </w:rPr>
        <w:t>2.1 </w:t>
      </w:r>
      <w:r>
        <w:rPr>
          <w:rFonts w:hint="eastAsia"/>
          <w:color w:val="auto"/>
          <w:lang w:eastAsia="zh-CN"/>
        </w:rPr>
        <w:t>镇级</w:t>
      </w:r>
      <w:r>
        <w:rPr>
          <w:color w:val="auto"/>
        </w:rPr>
        <w:t>层面</w:t>
      </w:r>
      <w:bookmarkEnd w:id="6"/>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rFonts w:hint="eastAsia"/>
          <w:color w:val="auto"/>
          <w:lang w:eastAsia="zh-CN"/>
        </w:rPr>
        <w:t>镇</w:t>
      </w:r>
      <w:r>
        <w:rPr>
          <w:rFonts w:hint="eastAsia"/>
          <w:color w:val="auto"/>
        </w:rPr>
        <w:t>防灾减灾救灾委员会负责统筹组织实施全</w:t>
      </w:r>
      <w:r>
        <w:rPr>
          <w:rFonts w:hint="eastAsia"/>
          <w:color w:val="auto"/>
          <w:lang w:eastAsia="zh-CN"/>
        </w:rPr>
        <w:t>镇</w:t>
      </w:r>
      <w:r>
        <w:rPr>
          <w:rFonts w:hint="eastAsia"/>
          <w:color w:val="auto"/>
        </w:rPr>
        <w:t>自然灾害救助工作</w:t>
      </w:r>
      <w:r>
        <w:rPr>
          <w:color w:val="auto"/>
        </w:rPr>
        <w:t>。</w:t>
      </w:r>
      <w:r>
        <w:rPr>
          <w:rFonts w:hint="eastAsia"/>
          <w:color w:val="auto"/>
          <w:lang w:eastAsia="zh-CN"/>
        </w:rPr>
        <w:t>由镇长</w:t>
      </w:r>
      <w:r>
        <w:rPr>
          <w:color w:val="auto"/>
        </w:rPr>
        <w:t>兼任防灾减灾救灾委员会办公室主任、分管负责人兼任办公室副主任，负责组织开展灾情会商、分析研判全</w:t>
      </w:r>
      <w:r>
        <w:rPr>
          <w:rFonts w:hint="eastAsia"/>
          <w:color w:val="auto"/>
          <w:lang w:eastAsia="zh-CN"/>
        </w:rPr>
        <w:t>镇</w:t>
      </w:r>
      <w:r>
        <w:rPr>
          <w:color w:val="auto"/>
        </w:rPr>
        <w:t>自然灾害风险形势，收集、汇总、评估、核定灾情；组织指导开展自然灾害损失综合评估，督</w:t>
      </w:r>
      <w:r>
        <w:rPr>
          <w:color w:val="auto"/>
          <w:spacing w:val="-3"/>
        </w:rPr>
        <w:t>促做好倒损住房恢复重建工作；做好救灾款物的监督和管理工作</w:t>
      </w:r>
      <w:r>
        <w:rPr>
          <w:color w:val="auto"/>
        </w:rPr>
        <w:t>。</w:t>
      </w:r>
      <w:r>
        <w:rPr>
          <w:rFonts w:hint="eastAsia"/>
          <w:color w:val="auto"/>
          <w:lang w:eastAsia="zh-CN"/>
        </w:rPr>
        <w:t>镇</w:t>
      </w:r>
      <w:r>
        <w:rPr>
          <w:color w:val="auto"/>
        </w:rPr>
        <w:t>防灾减灾救灾委员会各成员单位按照各自职责做好灾害救助相关工作。</w:t>
      </w:r>
    </w:p>
    <w:p>
      <w:pPr>
        <w:pStyle w:val="3"/>
        <w:pageBreakBefore w:val="0"/>
        <w:widowControl/>
        <w:shd w:val="clear" w:color="auto" w:fill="auto"/>
        <w:kinsoku/>
        <w:wordWrap/>
        <w:overflowPunct/>
        <w:topLinePunct w:val="0"/>
        <w:autoSpaceDN/>
        <w:bidi w:val="0"/>
        <w:spacing w:line="594" w:lineRule="exact"/>
        <w:jc w:val="both"/>
        <w:textAlignment w:val="auto"/>
        <w:rPr>
          <w:color w:val="auto"/>
        </w:rPr>
      </w:pPr>
      <w:bookmarkStart w:id="7" w:name="_Toc11084"/>
      <w:r>
        <w:rPr>
          <w:color w:val="auto"/>
        </w:rPr>
        <w:t xml:space="preserve">2.2  </w:t>
      </w:r>
      <w:r>
        <w:rPr>
          <w:rFonts w:hint="eastAsia"/>
          <w:color w:val="auto"/>
          <w:lang w:eastAsia="zh-CN"/>
        </w:rPr>
        <w:t>村（社区）</w:t>
      </w:r>
      <w:r>
        <w:rPr>
          <w:color w:val="auto"/>
        </w:rPr>
        <w:t>层面</w:t>
      </w:r>
      <w:bookmarkEnd w:id="7"/>
    </w:p>
    <w:p>
      <w:pPr>
        <w:pageBreakBefore w:val="0"/>
        <w:widowControl/>
        <w:kinsoku/>
        <w:wordWrap/>
        <w:overflowPunct/>
        <w:topLinePunct w:val="0"/>
        <w:autoSpaceDN/>
        <w:bidi w:val="0"/>
        <w:spacing w:line="594" w:lineRule="exact"/>
        <w:jc w:val="both"/>
        <w:textAlignment w:val="auto"/>
        <w:rPr>
          <w:rFonts w:ascii="Times New Roman" w:hAnsi="Times New Roman" w:cs="Times New Roman"/>
          <w:color w:val="auto"/>
          <w:shd w:val="clear" w:color="auto" w:fill="FFFFFF"/>
        </w:rPr>
      </w:pPr>
      <w:r>
        <w:rPr>
          <w:rFonts w:hint="eastAsia" w:ascii="Times New Roman" w:hAnsi="Times New Roman" w:cs="Times New Roman"/>
          <w:color w:val="auto"/>
          <w:lang w:eastAsia="zh-CN"/>
        </w:rPr>
        <w:t>各村（社区）负责协助镇级组织实施本辖区内一般及以上自然灾害的救助工作。</w:t>
      </w:r>
    </w:p>
    <w:p>
      <w:pPr>
        <w:pageBreakBefore w:val="0"/>
        <w:widowControl/>
        <w:kinsoku/>
        <w:wordWrap/>
        <w:overflowPunct/>
        <w:topLinePunct w:val="0"/>
        <w:autoSpaceDN/>
        <w:bidi w:val="0"/>
        <w:snapToGrid w:val="0"/>
        <w:spacing w:line="594" w:lineRule="exact"/>
        <w:ind w:firstLine="640" w:firstLineChars="200"/>
        <w:textAlignment w:val="auto"/>
        <w:rPr>
          <w:rFonts w:eastAsia="方正黑体_GBK"/>
          <w:color w:val="auto"/>
          <w:szCs w:val="32"/>
        </w:rPr>
      </w:pPr>
      <w:bookmarkStart w:id="8" w:name="_Toc18506"/>
      <w:r>
        <w:rPr>
          <w:rFonts w:eastAsia="方正黑体_GBK"/>
          <w:color w:val="auto"/>
          <w:szCs w:val="32"/>
        </w:rPr>
        <w:t>3　灾害救助准备</w:t>
      </w:r>
    </w:p>
    <w:p>
      <w:pPr>
        <w:pageBreakBefore w:val="0"/>
        <w:widowControl/>
        <w:kinsoku/>
        <w:wordWrap/>
        <w:overflowPunct/>
        <w:topLinePunct w:val="0"/>
        <w:autoSpaceDN/>
        <w:bidi w:val="0"/>
        <w:snapToGrid w:val="0"/>
        <w:spacing w:line="594" w:lineRule="exact"/>
        <w:ind w:firstLine="640" w:firstLineChars="200"/>
        <w:textAlignment w:val="auto"/>
        <w:rPr>
          <w:rFonts w:hint="eastAsia"/>
          <w:color w:val="auto"/>
        </w:rPr>
      </w:pPr>
      <w:r>
        <w:rPr>
          <w:rFonts w:hint="eastAsia"/>
          <w:color w:val="auto"/>
        </w:rPr>
        <w:t>镇防灾减灾救灾委员会办公室要及时转发灾害预警预报信息，并结合可能受影响地区的自然条件、人口和社会经济状况，对可能出现的灾情进行预评估，视情采取以下一项或多项救助准备措施：</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（1）</w:t>
      </w:r>
      <w:r>
        <w:rPr>
          <w:color w:val="auto"/>
          <w:spacing w:val="-2"/>
        </w:rPr>
        <w:t>向可能受影响的</w:t>
      </w:r>
      <w:r>
        <w:rPr>
          <w:rFonts w:hint="eastAsia" w:ascii="Times New Roman" w:hAnsi="Times New Roman" w:cs="Times New Roman"/>
          <w:color w:val="auto"/>
          <w:lang w:eastAsia="zh-CN"/>
        </w:rPr>
        <w:t>村（社区）</w:t>
      </w:r>
      <w:r>
        <w:rPr>
          <w:color w:val="auto"/>
          <w:spacing w:val="-2"/>
        </w:rPr>
        <w:t>通报预警预报信息，提出灾害救助</w:t>
      </w:r>
      <w:r>
        <w:rPr>
          <w:color w:val="auto"/>
        </w:rPr>
        <w:t>准备工作要求，提前疏散、转移可能受灾的群众，做好救助准备；</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（2）加强应急值守，密切跟踪灾情发展趋势，对灾害可能造成的损失进行动态评估，及时调整相关措施；</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（3）做好救灾物资准备，紧急情况下提前调拨。启动应急联动机制，做好救灾物资调运准备；</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（4）实地了解灾害风险情况，检查指导灾害救助准备工作；</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（5）</w:t>
      </w:r>
      <w:r>
        <w:rPr>
          <w:color w:val="auto"/>
          <w:spacing w:val="-2"/>
        </w:rPr>
        <w:t>根据工作需要，向区防灾减灾救灾委员会</w:t>
      </w:r>
      <w:r>
        <w:rPr>
          <w:rFonts w:hint="eastAsia"/>
          <w:color w:val="auto"/>
          <w:spacing w:val="-2"/>
          <w:lang w:eastAsia="zh-CN"/>
        </w:rPr>
        <w:t>报告</w:t>
      </w:r>
      <w:r>
        <w:rPr>
          <w:color w:val="auto"/>
        </w:rPr>
        <w:t>灾害救助准备工作情况，重要情况及时向</w:t>
      </w:r>
      <w:r>
        <w:rPr>
          <w:color w:val="auto"/>
          <w:szCs w:val="32"/>
        </w:rPr>
        <w:t>区委、区政府</w:t>
      </w:r>
      <w:r>
        <w:rPr>
          <w:color w:val="auto"/>
        </w:rPr>
        <w:t>报告；</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（6）</w:t>
      </w:r>
      <w:r>
        <w:rPr>
          <w:color w:val="auto"/>
          <w:spacing w:val="-2"/>
        </w:rPr>
        <w:t>向社会发布预警及相关工作开展情况，提示群众做好自</w:t>
      </w:r>
      <w:r>
        <w:rPr>
          <w:color w:val="auto"/>
        </w:rPr>
        <w:t>救互救准备。</w:t>
      </w:r>
    </w:p>
    <w:bookmarkEnd w:id="8"/>
    <w:p>
      <w:pPr>
        <w:pageBreakBefore w:val="0"/>
        <w:widowControl/>
        <w:kinsoku/>
        <w:wordWrap/>
        <w:overflowPunct/>
        <w:topLinePunct w:val="0"/>
        <w:autoSpaceDN/>
        <w:bidi w:val="0"/>
        <w:snapToGrid w:val="0"/>
        <w:spacing w:line="594" w:lineRule="exact"/>
        <w:ind w:firstLine="640" w:firstLineChars="200"/>
        <w:textAlignment w:val="auto"/>
        <w:rPr>
          <w:rFonts w:eastAsia="方正黑体_GBK"/>
          <w:color w:val="auto"/>
          <w:szCs w:val="32"/>
        </w:rPr>
      </w:pPr>
      <w:bookmarkStart w:id="9" w:name="_Toc32475"/>
      <w:r>
        <w:rPr>
          <w:rFonts w:eastAsia="方正黑体_GBK"/>
          <w:color w:val="auto"/>
          <w:szCs w:val="32"/>
        </w:rPr>
        <w:t>4　灾情信息报告和发布</w:t>
      </w:r>
    </w:p>
    <w:p>
      <w:pPr>
        <w:pageBreakBefore w:val="0"/>
        <w:widowControl/>
        <w:kinsoku/>
        <w:wordWrap/>
        <w:overflowPunct/>
        <w:topLinePunct w:val="0"/>
        <w:autoSpaceDN/>
        <w:bidi w:val="0"/>
        <w:spacing w:line="594" w:lineRule="exact"/>
        <w:jc w:val="both"/>
        <w:textAlignment w:val="auto"/>
        <w:rPr>
          <w:rFonts w:ascii="Times New Roman" w:hAnsi="Times New Roman" w:cs="Times New Roman"/>
          <w:color w:val="auto"/>
        </w:rPr>
      </w:pPr>
      <w:r>
        <w:rPr>
          <w:rFonts w:ascii="Times New Roman" w:hAnsi="Times New Roman" w:cs="Times New Roman"/>
          <w:color w:val="auto"/>
        </w:rPr>
        <w:t>按照应急管理部《自然灾害情况统计调查制度》《特别重大自然灾害损失统计调查制度》有关要求，做好灾情信息收集、汇总、分析、上报和共享工作。</w:t>
      </w:r>
      <w:bookmarkEnd w:id="9"/>
    </w:p>
    <w:p>
      <w:pPr>
        <w:pStyle w:val="3"/>
        <w:pageBreakBefore w:val="0"/>
        <w:widowControl/>
        <w:shd w:val="clear" w:color="auto" w:fill="auto"/>
        <w:kinsoku/>
        <w:wordWrap/>
        <w:overflowPunct/>
        <w:topLinePunct w:val="0"/>
        <w:autoSpaceDN/>
        <w:bidi w:val="0"/>
        <w:spacing w:line="594" w:lineRule="exact"/>
        <w:jc w:val="both"/>
        <w:textAlignment w:val="auto"/>
        <w:rPr>
          <w:color w:val="auto"/>
        </w:rPr>
      </w:pPr>
      <w:bookmarkStart w:id="10" w:name="_Toc28042"/>
      <w:r>
        <w:rPr>
          <w:color w:val="auto"/>
        </w:rPr>
        <w:t>4.1  灾情信息报告</w:t>
      </w:r>
      <w:bookmarkEnd w:id="10"/>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4.1.1　</w:t>
      </w:r>
      <w:r>
        <w:rPr>
          <w:color w:val="auto"/>
          <w:spacing w:val="-3"/>
        </w:rPr>
        <w:t>严格落实灾情信息报告责任，</w:t>
      </w:r>
      <w:r>
        <w:rPr>
          <w:color w:val="auto"/>
          <w:spacing w:val="3"/>
        </w:rPr>
        <w:t>健全工作制度，规范工作流程，确保灾情信息报告及时、准确、</w:t>
      </w:r>
      <w:r>
        <w:rPr>
          <w:color w:val="auto"/>
        </w:rPr>
        <w:t>全面，杜绝迟报、瞒报、漏报、虚报灾情信息等情况发生。涉灾行业部门应及时将本行业灾情上报上级主管部门，并通报</w:t>
      </w:r>
      <w:r>
        <w:rPr>
          <w:rFonts w:hint="eastAsia"/>
          <w:color w:val="auto"/>
          <w:lang w:eastAsia="zh-CN"/>
        </w:rPr>
        <w:t>镇平安法治办</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4.1.2　</w:t>
      </w:r>
      <w:r>
        <w:rPr>
          <w:color w:val="auto"/>
        </w:rPr>
        <w:t>对</w:t>
      </w:r>
      <w:r>
        <w:rPr>
          <w:rFonts w:hAnsi="宋体" w:cs="宋体"/>
          <w:color w:val="auto"/>
        </w:rPr>
        <w:t>突发自然灾害，应在灾害</w:t>
      </w:r>
      <w:r>
        <w:rPr>
          <w:color w:val="auto"/>
        </w:rPr>
        <w:t>发生后1小时内汇总</w:t>
      </w:r>
      <w:r>
        <w:rPr>
          <w:rFonts w:hint="eastAsia"/>
          <w:color w:val="auto"/>
          <w:lang w:eastAsia="zh-CN"/>
        </w:rPr>
        <w:t>辖区</w:t>
      </w:r>
      <w:r>
        <w:rPr>
          <w:color w:val="auto"/>
        </w:rPr>
        <w:t>内灾情（包括灾害发生时间、灾害种类、受灾范围、灾害造成的损失等）和救灾工作情况（包括已投入应急力量、物资、装备等，以及灾区需求、主要问题、下一步工作措施），向本级党委、政府和区应急管理部门报告。</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4.1.3　</w:t>
      </w:r>
      <w:r>
        <w:rPr>
          <w:color w:val="auto"/>
        </w:rPr>
        <w:t>灾情信息应按照《自然灾害情况统计调查制度》有关规定，通过国家自然灾害灾情管理系统汇总上报，做到“初报快、续报全、核报准”。特殊紧急情况下（如断电、断路、断网等），可先行通过电话、传真等方式报告，后续及时通过系统补报</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4.1.4　</w:t>
      </w:r>
      <w:r>
        <w:rPr>
          <w:color w:val="auto"/>
        </w:rPr>
        <w:t>地震、山洪、地质灾害等突发性灾害发生后，若出现死亡和失踪人员相关信息难以确认的情况，应按照“先报后核”原则，第一时间先行上报信息，后续根据确认情况进行核报</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4.1.5　自然灾害灾情稳定前，</w:t>
      </w:r>
      <w:r>
        <w:rPr>
          <w:rFonts w:hint="eastAsia"/>
          <w:color w:val="auto"/>
          <w:szCs w:val="32"/>
          <w:lang w:eastAsia="zh-CN"/>
        </w:rPr>
        <w:t>要</w:t>
      </w:r>
      <w:r>
        <w:rPr>
          <w:color w:val="auto"/>
          <w:szCs w:val="32"/>
        </w:rPr>
        <w:t>严格执行灾情24小时“零报告”制度，逐级上报。</w:t>
      </w:r>
      <w:r>
        <w:rPr>
          <w:color w:val="auto"/>
        </w:rPr>
        <w:t>灾情稳定后，</w:t>
      </w:r>
      <w:r>
        <w:rPr>
          <w:rFonts w:hint="eastAsia"/>
          <w:color w:val="auto"/>
          <w:lang w:eastAsia="zh-CN"/>
        </w:rPr>
        <w:t>镇</w:t>
      </w:r>
      <w:r>
        <w:rPr>
          <w:color w:val="auto"/>
        </w:rPr>
        <w:t>防灾减灾救灾委员会办公室及时组织涉灾行业部门核查灾情，及时上报</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4.1.</w:t>
      </w:r>
      <w:r>
        <w:rPr>
          <w:rFonts w:hint="eastAsia"/>
          <w:color w:val="auto"/>
          <w:szCs w:val="32"/>
          <w:lang w:val="en-US" w:eastAsia="zh-CN"/>
        </w:rPr>
        <w:t>6</w:t>
      </w:r>
      <w:r>
        <w:rPr>
          <w:color w:val="auto"/>
          <w:szCs w:val="32"/>
        </w:rPr>
        <w:t>　对于干旱灾害，</w:t>
      </w:r>
      <w:r>
        <w:rPr>
          <w:color w:val="auto"/>
        </w:rPr>
        <w:t>应在旱情初显</w:t>
      </w:r>
      <w:r>
        <w:rPr>
          <w:color w:val="auto"/>
          <w:spacing w:val="-3"/>
        </w:rPr>
        <w:t>时及时汇总报告灾情；在旱情发展过程中，每10日至少续报一次</w:t>
      </w:r>
      <w:r>
        <w:rPr>
          <w:color w:val="auto"/>
        </w:rPr>
        <w:t>灾情，直至灾情解除；灾情解除后及时核报</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4.1.</w:t>
      </w:r>
      <w:r>
        <w:rPr>
          <w:rFonts w:hint="eastAsia"/>
          <w:color w:val="auto"/>
          <w:szCs w:val="32"/>
          <w:lang w:val="en-US" w:eastAsia="zh-CN"/>
        </w:rPr>
        <w:t>7</w:t>
      </w:r>
      <w:r>
        <w:rPr>
          <w:color w:val="auto"/>
          <w:szCs w:val="32"/>
        </w:rPr>
        <w:t>　</w:t>
      </w:r>
      <w:r>
        <w:rPr>
          <w:color w:val="auto"/>
        </w:rPr>
        <w:t>针对较大及以上自然灾害</w:t>
      </w:r>
      <w:r>
        <w:rPr>
          <w:rFonts w:hint="eastAsia"/>
          <w:color w:val="auto"/>
          <w:lang w:eastAsia="zh-CN"/>
        </w:rPr>
        <w:t>，镇</w:t>
      </w:r>
      <w:r>
        <w:rPr>
          <w:color w:val="auto"/>
        </w:rPr>
        <w:t>防灾减灾救灾委员会应及时组织涉灾行业部门开展灾情会商，通报灾情信息，全面客观评估、核定灾情。</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4.2　灾情信息发布</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坚持实事求是、及时准确、公开透明的原则，及时广播、政务微信等渠道发布信息</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自然灾害灾情稳定前，</w:t>
      </w:r>
      <w:r>
        <w:rPr>
          <w:rFonts w:hint="eastAsia"/>
          <w:color w:val="auto"/>
          <w:lang w:eastAsia="zh-CN"/>
        </w:rPr>
        <w:t>镇</w:t>
      </w:r>
      <w:r>
        <w:rPr>
          <w:color w:val="auto"/>
        </w:rPr>
        <w:t>防灾减灾救灾委员会办公室应及时向社会发布自然灾害工作动态、成效、下一步安排等情况；自然灾害灾情稳定后，应汇总发布自然灾害救助情况</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关于灾情核定和发布工作，法律法规另有规定的，从其规定</w:t>
      </w:r>
      <w:r>
        <w:rPr>
          <w:color w:val="auto"/>
          <w:szCs w:val="32"/>
        </w:rPr>
        <w:t>。</w:t>
      </w:r>
    </w:p>
    <w:p>
      <w:pPr>
        <w:pStyle w:val="2"/>
        <w:pageBreakBefore w:val="0"/>
        <w:widowControl/>
        <w:shd w:val="clear" w:color="auto" w:fill="auto"/>
        <w:kinsoku/>
        <w:wordWrap/>
        <w:overflowPunct/>
        <w:topLinePunct w:val="0"/>
        <w:autoSpaceDN/>
        <w:bidi w:val="0"/>
        <w:spacing w:line="594" w:lineRule="exact"/>
        <w:ind w:firstLine="640"/>
        <w:jc w:val="both"/>
        <w:textAlignment w:val="auto"/>
        <w:rPr>
          <w:b w:val="0"/>
          <w:bCs w:val="0"/>
          <w:color w:val="auto"/>
        </w:rPr>
      </w:pPr>
      <w:bookmarkStart w:id="11" w:name="_Toc17129"/>
      <w:r>
        <w:rPr>
          <w:b w:val="0"/>
          <w:bCs w:val="0"/>
          <w:color w:val="auto"/>
        </w:rPr>
        <w:t>5</w:t>
      </w:r>
      <w:r>
        <w:rPr>
          <w:rFonts w:eastAsia="宋体"/>
          <w:b w:val="0"/>
          <w:bCs w:val="0"/>
          <w:color w:val="auto"/>
        </w:rPr>
        <w:t> </w:t>
      </w:r>
      <w:r>
        <w:rPr>
          <w:rFonts w:hint="eastAsia" w:eastAsia="宋体"/>
          <w:b w:val="0"/>
          <w:bCs w:val="0"/>
          <w:color w:val="auto"/>
          <w:lang w:val="en-US" w:eastAsia="zh-CN"/>
        </w:rPr>
        <w:t xml:space="preserve">  </w:t>
      </w:r>
      <w:r>
        <w:rPr>
          <w:b w:val="0"/>
          <w:bCs w:val="0"/>
          <w:color w:val="auto"/>
        </w:rPr>
        <w:t>应急响应</w:t>
      </w:r>
      <w:bookmarkEnd w:id="11"/>
    </w:p>
    <w:p>
      <w:pPr>
        <w:pageBreakBefore w:val="0"/>
        <w:widowControl/>
        <w:kinsoku/>
        <w:wordWrap/>
        <w:overflowPunct/>
        <w:topLinePunct w:val="0"/>
        <w:autoSpaceDN/>
        <w:bidi w:val="0"/>
        <w:spacing w:line="594" w:lineRule="exact"/>
        <w:jc w:val="both"/>
        <w:textAlignment w:val="auto"/>
        <w:rPr>
          <w:rFonts w:ascii="Times New Roman" w:hAnsi="Times New Roman" w:cs="Times New Roman"/>
          <w:color w:val="auto"/>
        </w:rPr>
      </w:pPr>
      <w:r>
        <w:rPr>
          <w:rFonts w:hint="eastAsia" w:ascii="Times New Roman" w:hAnsi="Times New Roman" w:cs="Times New Roman"/>
          <w:color w:val="auto"/>
        </w:rPr>
        <w:t>根据自然灾害危害程度、救助需要等因素，自然灾害救助应急响应分为一级、二级、三级、四级。最高级别为一级响应。</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bookmarkStart w:id="12" w:name="_Toc1974"/>
      <w:r>
        <w:rPr>
          <w:rFonts w:eastAsia="方正楷体_GBK"/>
          <w:color w:val="auto"/>
          <w:szCs w:val="32"/>
        </w:rPr>
        <w:t>5.1　一级响应</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5.1.1　启动条件</w:t>
      </w:r>
    </w:p>
    <w:p>
      <w:pPr>
        <w:pageBreakBefore w:val="0"/>
        <w:widowControl/>
        <w:kinsoku/>
        <w:wordWrap/>
        <w:overflowPunct/>
        <w:topLinePunct w:val="0"/>
        <w:autoSpaceDN/>
        <w:bidi w:val="0"/>
        <w:snapToGrid w:val="0"/>
        <w:spacing w:line="594" w:lineRule="exact"/>
        <w:ind w:firstLine="640" w:firstLineChars="200"/>
        <w:textAlignment w:val="auto"/>
        <w:rPr>
          <w:rFonts w:hint="eastAsia" w:eastAsia="方正仿宋_GBK"/>
          <w:color w:val="auto"/>
          <w:szCs w:val="32"/>
          <w:lang w:eastAsia="zh-CN"/>
        </w:rPr>
      </w:pPr>
      <w:r>
        <w:rPr>
          <w:color w:val="auto"/>
          <w:szCs w:val="32"/>
        </w:rPr>
        <w:t>发生自然灾害，</w:t>
      </w:r>
      <w:r>
        <w:rPr>
          <w:color w:val="auto"/>
        </w:rPr>
        <w:t>一次灾害过程</w:t>
      </w:r>
      <w:r>
        <w:rPr>
          <w:rFonts w:hint="eastAsia"/>
          <w:color w:val="auto"/>
          <w:lang w:eastAsia="zh-CN"/>
        </w:rPr>
        <w:t>出现</w:t>
      </w:r>
      <w:r>
        <w:rPr>
          <w:rFonts w:hint="eastAsia"/>
          <w:color w:val="auto"/>
        </w:rPr>
        <w:t>或经会商研判</w:t>
      </w:r>
      <w:r>
        <w:rPr>
          <w:color w:val="auto"/>
        </w:rPr>
        <w:t>可能</w:t>
      </w:r>
      <w:r>
        <w:rPr>
          <w:rFonts w:hint="eastAsia"/>
          <w:color w:val="auto"/>
          <w:lang w:eastAsia="zh-CN"/>
        </w:rPr>
        <w:t>达到下列</w:t>
      </w:r>
      <w:r>
        <w:rPr>
          <w:rFonts w:hint="eastAsia"/>
          <w:color w:val="auto"/>
        </w:rPr>
        <w:t>区级自然灾害救助应急响应</w:t>
      </w:r>
      <w:r>
        <w:rPr>
          <w:rFonts w:hint="eastAsia"/>
          <w:color w:val="auto"/>
          <w:lang w:eastAsia="zh-CN"/>
        </w:rPr>
        <w:t>一级标准之一的</w:t>
      </w:r>
      <w:r>
        <w:rPr>
          <w:rFonts w:hint="eastAsia" w:hAnsi="宋体" w:cs="宋体"/>
          <w:color w:val="auto"/>
          <w:lang w:eastAsia="zh-CN"/>
        </w:rPr>
        <w:t>，按区防灾减灾救灾委员会要求启动一级响应。</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rFonts w:hint="eastAsia" w:ascii="Calibri" w:hAnsi="Calibri" w:cs="Calibri"/>
          <w:color w:val="auto"/>
          <w:szCs w:val="32"/>
          <w:lang w:eastAsia="zh-CN"/>
        </w:rPr>
        <w:t>（</w:t>
      </w:r>
      <w:r>
        <w:rPr>
          <w:rFonts w:hint="eastAsia" w:ascii="Calibri" w:hAnsi="Calibri" w:cs="Calibri"/>
          <w:color w:val="auto"/>
          <w:szCs w:val="32"/>
          <w:lang w:val="en-US" w:eastAsia="zh-CN"/>
        </w:rPr>
        <w:t>1</w:t>
      </w:r>
      <w:r>
        <w:rPr>
          <w:rFonts w:hint="eastAsia" w:ascii="Calibri" w:hAnsi="Calibri" w:cs="Calibri"/>
          <w:color w:val="auto"/>
          <w:szCs w:val="32"/>
          <w:lang w:eastAsia="zh-CN"/>
        </w:rPr>
        <w:t>）</w:t>
      </w:r>
      <w:r>
        <w:rPr>
          <w:color w:val="auto"/>
          <w:szCs w:val="32"/>
        </w:rPr>
        <w:t>死亡和失踪20人以上；</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rFonts w:hint="eastAsia" w:ascii="Calibri" w:hAnsi="Calibri" w:cs="Calibri"/>
          <w:color w:val="auto"/>
          <w:szCs w:val="32"/>
          <w:lang w:eastAsia="zh-CN"/>
        </w:rPr>
        <w:t>（</w:t>
      </w:r>
      <w:r>
        <w:rPr>
          <w:rFonts w:hint="eastAsia" w:ascii="Calibri" w:hAnsi="Calibri" w:cs="Calibri"/>
          <w:color w:val="auto"/>
          <w:szCs w:val="32"/>
          <w:lang w:val="en-US" w:eastAsia="zh-CN"/>
        </w:rPr>
        <w:t>2</w:t>
      </w:r>
      <w:r>
        <w:rPr>
          <w:rFonts w:hint="eastAsia" w:ascii="Calibri" w:hAnsi="Calibri" w:cs="Calibri"/>
          <w:color w:val="auto"/>
          <w:szCs w:val="32"/>
          <w:lang w:eastAsia="zh-CN"/>
        </w:rPr>
        <w:t>）</w:t>
      </w:r>
      <w:r>
        <w:rPr>
          <w:color w:val="auto"/>
          <w:szCs w:val="32"/>
        </w:rPr>
        <w:t>紧急转移安置和需紧急生活救助1万人以上；</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rFonts w:hint="eastAsia" w:ascii="Calibri" w:hAnsi="Calibri" w:cs="Calibri"/>
          <w:color w:val="auto"/>
          <w:szCs w:val="32"/>
          <w:lang w:eastAsia="zh-CN"/>
        </w:rPr>
        <w:t>（</w:t>
      </w:r>
      <w:r>
        <w:rPr>
          <w:rFonts w:hint="eastAsia" w:ascii="Calibri" w:hAnsi="Calibri" w:cs="Calibri"/>
          <w:color w:val="auto"/>
          <w:szCs w:val="32"/>
          <w:lang w:val="en-US" w:eastAsia="zh-CN"/>
        </w:rPr>
        <w:t>3</w:t>
      </w:r>
      <w:r>
        <w:rPr>
          <w:rFonts w:hint="eastAsia" w:ascii="Calibri" w:hAnsi="Calibri" w:cs="Calibri"/>
          <w:color w:val="auto"/>
          <w:szCs w:val="32"/>
          <w:lang w:eastAsia="zh-CN"/>
        </w:rPr>
        <w:t>）</w:t>
      </w:r>
      <w:r>
        <w:rPr>
          <w:color w:val="auto"/>
          <w:szCs w:val="32"/>
        </w:rPr>
        <w:t>倒塌和严重损坏房屋2000间或600户以上；</w:t>
      </w:r>
    </w:p>
    <w:p>
      <w:pPr>
        <w:pageBreakBefore w:val="0"/>
        <w:widowControl/>
        <w:kinsoku/>
        <w:wordWrap/>
        <w:overflowPunct/>
        <w:topLinePunct w:val="0"/>
        <w:autoSpaceDN/>
        <w:bidi w:val="0"/>
        <w:snapToGrid w:val="0"/>
        <w:spacing w:line="594" w:lineRule="exact"/>
        <w:textAlignment w:val="auto"/>
        <w:rPr>
          <w:color w:val="auto"/>
          <w:szCs w:val="32"/>
        </w:rPr>
      </w:pPr>
      <w:r>
        <w:rPr>
          <w:rFonts w:hint="eastAsia" w:ascii="Calibri" w:hAnsi="Calibri" w:cs="Calibri"/>
          <w:color w:val="auto"/>
          <w:szCs w:val="32"/>
          <w:lang w:eastAsia="zh-CN"/>
        </w:rPr>
        <w:t>（</w:t>
      </w:r>
      <w:r>
        <w:rPr>
          <w:rFonts w:hint="eastAsia" w:ascii="Calibri" w:hAnsi="Calibri" w:cs="Calibri"/>
          <w:color w:val="auto"/>
          <w:szCs w:val="32"/>
          <w:lang w:val="en-US" w:eastAsia="zh-CN"/>
        </w:rPr>
        <w:t>4</w:t>
      </w:r>
      <w:r>
        <w:rPr>
          <w:rFonts w:hint="eastAsia" w:ascii="Calibri" w:hAnsi="Calibri" w:cs="Calibri"/>
          <w:color w:val="auto"/>
          <w:szCs w:val="32"/>
          <w:lang w:eastAsia="zh-CN"/>
        </w:rPr>
        <w:t>）</w:t>
      </w:r>
      <w:r>
        <w:rPr>
          <w:rFonts w:hint="default" w:ascii="Calibri" w:hAnsi="Calibri" w:cs="Calibri"/>
          <w:color w:val="auto"/>
          <w:szCs w:val="32"/>
        </w:rPr>
        <w:t>干</w:t>
      </w:r>
      <w:r>
        <w:rPr>
          <w:color w:val="auto"/>
          <w:szCs w:val="32"/>
        </w:rPr>
        <w:t>旱灾害造成缺粮或缺水等生活困难，</w:t>
      </w:r>
      <w:r>
        <w:rPr>
          <w:color w:val="auto"/>
        </w:rPr>
        <w:t>需救助人数达</w:t>
      </w:r>
      <w:r>
        <w:rPr>
          <w:color w:val="auto"/>
          <w:szCs w:val="32"/>
        </w:rPr>
        <w:t>10万人以上。</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rFonts w:hint="eastAsia"/>
          <w:color w:val="auto"/>
          <w:lang w:val="en-US" w:eastAsia="zh-CN"/>
        </w:rPr>
        <w:t>（5）</w:t>
      </w:r>
      <w:r>
        <w:rPr>
          <w:rFonts w:hint="eastAsia"/>
          <w:color w:val="auto"/>
          <w:lang w:eastAsia="zh-CN"/>
        </w:rPr>
        <w:t>镇</w:t>
      </w:r>
      <w:r>
        <w:rPr>
          <w:color w:val="auto"/>
          <w:spacing w:val="1"/>
        </w:rPr>
        <w:t>防灾减灾救灾委员会研判认为需启动一级响应的其他</w:t>
      </w:r>
      <w:r>
        <w:rPr>
          <w:color w:val="auto"/>
        </w:rPr>
        <w:t>情况</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5.1.2　启动程序</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自然灾害发生后，经分析评估灾情达到一级响应启动条件，</w:t>
      </w:r>
      <w:r>
        <w:rPr>
          <w:rFonts w:hint="eastAsia"/>
          <w:color w:val="auto"/>
          <w:lang w:eastAsia="zh-CN"/>
        </w:rPr>
        <w:t>镇</w:t>
      </w:r>
      <w:r>
        <w:rPr>
          <w:color w:val="auto"/>
        </w:rPr>
        <w:t>防灾减灾救灾委员会办公室提出启动建议，由</w:t>
      </w:r>
      <w:r>
        <w:rPr>
          <w:rFonts w:hint="eastAsia"/>
          <w:color w:val="auto"/>
          <w:lang w:eastAsia="zh-CN"/>
        </w:rPr>
        <w:t>镇</w:t>
      </w:r>
      <w:r>
        <w:rPr>
          <w:color w:val="auto"/>
        </w:rPr>
        <w:t>防灾减灾救灾委员会主任决定启动</w:t>
      </w:r>
      <w:r>
        <w:rPr>
          <w:color w:val="auto"/>
          <w:szCs w:val="32"/>
        </w:rPr>
        <w:t>。</w:t>
      </w:r>
    </w:p>
    <w:bookmarkEnd w:id="12"/>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5.1.3　响应措施</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（1）</w:t>
      </w:r>
      <w:r>
        <w:rPr>
          <w:color w:val="auto"/>
          <w:spacing w:val="-3"/>
        </w:rPr>
        <w:t>会商研判灾情。</w:t>
      </w:r>
      <w:r>
        <w:rPr>
          <w:rFonts w:hint="eastAsia"/>
          <w:color w:val="auto"/>
          <w:spacing w:val="-3"/>
          <w:lang w:eastAsia="zh-CN"/>
        </w:rPr>
        <w:t>镇</w:t>
      </w:r>
      <w:r>
        <w:rPr>
          <w:color w:val="auto"/>
          <w:spacing w:val="-3"/>
        </w:rPr>
        <w:t>防灾减灾救灾委员会召开会商会议，</w:t>
      </w:r>
      <w:r>
        <w:rPr>
          <w:color w:val="auto"/>
        </w:rPr>
        <w:t>研判灾情和救灾形势，安排部署救助工作，指导支持受灾</w:t>
      </w:r>
      <w:r>
        <w:rPr>
          <w:rFonts w:hint="eastAsia"/>
          <w:color w:val="auto"/>
          <w:lang w:eastAsia="zh-CN"/>
        </w:rPr>
        <w:t>村（社区）</w:t>
      </w:r>
      <w:r>
        <w:rPr>
          <w:color w:val="auto"/>
        </w:rPr>
        <w:t>开展救灾</w:t>
      </w:r>
      <w:r>
        <w:rPr>
          <w:rFonts w:hint="eastAsia"/>
          <w:color w:val="auto"/>
          <w:lang w:eastAsia="zh-CN"/>
        </w:rPr>
        <w:t>，并</w:t>
      </w:r>
      <w:r>
        <w:rPr>
          <w:color w:val="auto"/>
        </w:rPr>
        <w:t>及时向上级主管部门报告。</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（2）实地开展工作。</w:t>
      </w:r>
      <w:r>
        <w:rPr>
          <w:rFonts w:hint="eastAsia"/>
          <w:color w:val="auto"/>
          <w:szCs w:val="32"/>
          <w:lang w:eastAsia="zh-CN"/>
        </w:rPr>
        <w:t>镇</w:t>
      </w:r>
      <w:r>
        <w:rPr>
          <w:color w:val="auto"/>
          <w:spacing w:val="-3"/>
        </w:rPr>
        <w:t>防灾减灾救灾委员会安排工作组赴受</w:t>
      </w:r>
      <w:r>
        <w:rPr>
          <w:color w:val="auto"/>
        </w:rPr>
        <w:t>灾</w:t>
      </w:r>
      <w:r>
        <w:rPr>
          <w:rFonts w:hint="eastAsia"/>
          <w:color w:val="auto"/>
          <w:lang w:eastAsia="zh-CN"/>
        </w:rPr>
        <w:t>村（社区）</w:t>
      </w:r>
      <w:r>
        <w:rPr>
          <w:color w:val="auto"/>
        </w:rPr>
        <w:t>指导救助工作，核查灾情，慰问受灾群众。</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（3）汇总统计灾情。</w:t>
      </w:r>
      <w:r>
        <w:rPr>
          <w:rFonts w:hint="eastAsia"/>
          <w:color w:val="auto"/>
          <w:szCs w:val="32"/>
          <w:lang w:eastAsia="zh-CN"/>
        </w:rPr>
        <w:t>镇</w:t>
      </w:r>
      <w:r>
        <w:rPr>
          <w:color w:val="auto"/>
          <w:spacing w:val="-3"/>
        </w:rPr>
        <w:t>防灾减灾救灾委员会有关成员单位应</w:t>
      </w:r>
      <w:r>
        <w:rPr>
          <w:color w:val="auto"/>
        </w:rPr>
        <w:t>每日向</w:t>
      </w:r>
      <w:r>
        <w:rPr>
          <w:rFonts w:hint="eastAsia"/>
          <w:color w:val="auto"/>
          <w:lang w:eastAsia="zh-CN"/>
        </w:rPr>
        <w:t>镇</w:t>
      </w:r>
      <w:r>
        <w:rPr>
          <w:color w:val="auto"/>
        </w:rPr>
        <w:t>防灾减灾救灾委员会办公室报告灾情、受灾</w:t>
      </w:r>
      <w:r>
        <w:rPr>
          <w:rFonts w:hint="eastAsia"/>
          <w:color w:val="auto"/>
          <w:lang w:eastAsia="zh-CN"/>
        </w:rPr>
        <w:t>村（社区）</w:t>
      </w:r>
      <w:r>
        <w:rPr>
          <w:color w:val="auto"/>
        </w:rPr>
        <w:t>需求、救灾工作动态等信息。</w:t>
      </w:r>
      <w:r>
        <w:rPr>
          <w:rFonts w:hint="eastAsia"/>
          <w:color w:val="auto"/>
          <w:lang w:eastAsia="zh-CN"/>
        </w:rPr>
        <w:t>镇</w:t>
      </w:r>
      <w:r>
        <w:rPr>
          <w:color w:val="auto"/>
        </w:rPr>
        <w:t>防灾减灾救灾委员会办公室及时掌握灾情和救灾工作动态信息，汇总受灾</w:t>
      </w:r>
      <w:r>
        <w:rPr>
          <w:rFonts w:hint="eastAsia"/>
          <w:color w:val="auto"/>
          <w:lang w:eastAsia="zh-CN"/>
        </w:rPr>
        <w:t>村（社区）</w:t>
      </w:r>
      <w:r>
        <w:rPr>
          <w:color w:val="auto"/>
        </w:rPr>
        <w:t>需求，必要时组织专家开展灾情发展趋势研判及受灾</w:t>
      </w:r>
      <w:r>
        <w:rPr>
          <w:rFonts w:hint="eastAsia"/>
          <w:color w:val="auto"/>
          <w:lang w:eastAsia="zh-CN"/>
        </w:rPr>
        <w:t>村（</w:t>
      </w:r>
      <w:r>
        <w:rPr>
          <w:rFonts w:hint="eastAsia"/>
          <w:color w:val="auto"/>
          <w:lang w:val="en-US" w:eastAsia="zh-CN"/>
        </w:rPr>
        <w:t>社区</w:t>
      </w:r>
      <w:r>
        <w:rPr>
          <w:rFonts w:hint="eastAsia"/>
          <w:color w:val="auto"/>
          <w:lang w:eastAsia="zh-CN"/>
        </w:rPr>
        <w:t>）</w:t>
      </w:r>
      <w:r>
        <w:rPr>
          <w:color w:val="auto"/>
        </w:rPr>
        <w:t>需求评估</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（4）调拨救灾款物。</w:t>
      </w:r>
      <w:r>
        <w:rPr>
          <w:rFonts w:hint="eastAsia"/>
          <w:color w:val="auto"/>
          <w:szCs w:val="32"/>
          <w:lang w:eastAsia="zh-CN"/>
        </w:rPr>
        <w:t>镇经济发展办</w:t>
      </w:r>
      <w:r>
        <w:rPr>
          <w:color w:val="auto"/>
          <w:szCs w:val="32"/>
        </w:rPr>
        <w:t>会同</w:t>
      </w:r>
      <w:r>
        <w:rPr>
          <w:rFonts w:hint="eastAsia"/>
          <w:color w:val="auto"/>
          <w:szCs w:val="32"/>
          <w:lang w:eastAsia="zh-CN"/>
        </w:rPr>
        <w:t>平安法治办</w:t>
      </w:r>
      <w:r>
        <w:rPr>
          <w:color w:val="auto"/>
          <w:szCs w:val="32"/>
        </w:rPr>
        <w:t>统筹安排自然灾害救助资金</w:t>
      </w:r>
      <w:r>
        <w:rPr>
          <w:rFonts w:hint="eastAsia"/>
          <w:color w:val="auto"/>
          <w:szCs w:val="32"/>
        </w:rPr>
        <w:t>，</w:t>
      </w:r>
      <w:r>
        <w:rPr>
          <w:color w:val="auto"/>
          <w:szCs w:val="32"/>
        </w:rPr>
        <w:t>根据灾害发生发展趋势研判，</w:t>
      </w:r>
      <w:r>
        <w:rPr>
          <w:rFonts w:hint="eastAsia"/>
          <w:color w:val="auto"/>
          <w:szCs w:val="32"/>
          <w:lang w:eastAsia="zh-CN"/>
        </w:rPr>
        <w:t>积极向上级部门申请救灾款物，</w:t>
      </w:r>
      <w:r>
        <w:rPr>
          <w:color w:val="auto"/>
        </w:rPr>
        <w:t>落实</w:t>
      </w:r>
      <w:r>
        <w:rPr>
          <w:rFonts w:hint="eastAsia"/>
          <w:color w:val="auto"/>
          <w:lang w:eastAsia="zh-CN"/>
        </w:rPr>
        <w:t>好</w:t>
      </w:r>
      <w:r>
        <w:rPr>
          <w:color w:val="auto"/>
        </w:rPr>
        <w:t>自然灾害救助应急措施，监督</w:t>
      </w:r>
      <w:r>
        <w:rPr>
          <w:rFonts w:hint="eastAsia"/>
          <w:color w:val="auto"/>
          <w:lang w:eastAsia="zh-CN"/>
        </w:rPr>
        <w:t>各类</w:t>
      </w:r>
      <w:r>
        <w:rPr>
          <w:color w:val="auto"/>
        </w:rPr>
        <w:t>救灾款物使用。</w:t>
      </w:r>
      <w:r>
        <w:rPr>
          <w:rFonts w:hint="eastAsia"/>
          <w:color w:val="auto"/>
          <w:lang w:eastAsia="zh-CN"/>
        </w:rPr>
        <w:t>综合行政执法大队、村镇建设服务中心、双石红炉永荣派出所联勤组负责</w:t>
      </w:r>
      <w:r>
        <w:rPr>
          <w:color w:val="auto"/>
        </w:rPr>
        <w:t>组织开展救灾物资、人员运输与重要通道快速修复等工作，保障各类救灾物资运输畅通和人员及时转运</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（5）投入救灾力量。</w:t>
      </w:r>
      <w:r>
        <w:rPr>
          <w:rFonts w:hint="eastAsia"/>
          <w:color w:val="auto"/>
          <w:szCs w:val="32"/>
          <w:lang w:eastAsia="zh-CN"/>
        </w:rPr>
        <w:t>镇平安法治办</w:t>
      </w:r>
      <w:r>
        <w:rPr>
          <w:color w:val="auto"/>
          <w:szCs w:val="32"/>
        </w:rPr>
        <w:t>统筹调度</w:t>
      </w:r>
      <w:r>
        <w:rPr>
          <w:rFonts w:hint="eastAsia"/>
          <w:color w:val="auto"/>
          <w:szCs w:val="32"/>
          <w:lang w:eastAsia="zh-CN"/>
        </w:rPr>
        <w:t>镇</w:t>
      </w:r>
      <w:r>
        <w:rPr>
          <w:color w:val="auto"/>
          <w:szCs w:val="32"/>
        </w:rPr>
        <w:t>内各类救援队伍开展救灾，积极帮助受灾</w:t>
      </w:r>
      <w:r>
        <w:rPr>
          <w:rFonts w:hint="eastAsia"/>
          <w:color w:val="auto"/>
          <w:szCs w:val="32"/>
          <w:lang w:eastAsia="zh-CN"/>
        </w:rPr>
        <w:t>村（社区）</w:t>
      </w:r>
      <w:r>
        <w:rPr>
          <w:color w:val="auto"/>
          <w:szCs w:val="32"/>
        </w:rPr>
        <w:t>转移受灾群众、运送发放救灾物资等。督促相关企业</w:t>
      </w:r>
      <w:r>
        <w:rPr>
          <w:color w:val="auto"/>
        </w:rPr>
        <w:t>参与抢险救援、基础设施抢险恢复等工</w:t>
      </w:r>
      <w:r>
        <w:rPr>
          <w:color w:val="auto"/>
          <w:szCs w:val="32"/>
        </w:rPr>
        <w:t>作。</w:t>
      </w:r>
      <w:r>
        <w:rPr>
          <w:rFonts w:hint="eastAsia"/>
          <w:color w:val="auto"/>
          <w:szCs w:val="32"/>
        </w:rPr>
        <w:t>党的建设办公室</w:t>
      </w:r>
      <w:r>
        <w:rPr>
          <w:color w:val="auto"/>
        </w:rPr>
        <w:t>会同</w:t>
      </w:r>
      <w:r>
        <w:rPr>
          <w:rFonts w:hint="eastAsia"/>
          <w:color w:val="auto"/>
          <w:lang w:eastAsia="zh-CN"/>
        </w:rPr>
        <w:t>镇</w:t>
      </w:r>
      <w:r>
        <w:rPr>
          <w:color w:val="auto"/>
          <w:spacing w:val="-3"/>
        </w:rPr>
        <w:t>级有关部门协调指导志愿服务力量参与灾害救助工作</w:t>
      </w:r>
      <w:r>
        <w:rPr>
          <w:color w:val="auto"/>
          <w:szCs w:val="32"/>
        </w:rPr>
        <w:t>。</w:t>
      </w:r>
      <w:r>
        <w:rPr>
          <w:rFonts w:hint="eastAsia"/>
          <w:color w:val="auto"/>
          <w:szCs w:val="32"/>
          <w:lang w:eastAsia="zh-CN"/>
        </w:rPr>
        <w:t>镇武装部</w:t>
      </w:r>
      <w:r>
        <w:rPr>
          <w:color w:val="auto"/>
          <w:szCs w:val="32"/>
        </w:rPr>
        <w:t>组织协调武警部队、民兵参与救灾，协助受灾</w:t>
      </w:r>
      <w:r>
        <w:rPr>
          <w:rFonts w:hint="eastAsia"/>
          <w:color w:val="auto"/>
          <w:szCs w:val="32"/>
        </w:rPr>
        <w:t>村（社区）</w:t>
      </w:r>
      <w:r>
        <w:rPr>
          <w:color w:val="auto"/>
        </w:rPr>
        <w:t>做好灾害救助工作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（6）安置受灾群众。</w:t>
      </w:r>
      <w:r>
        <w:rPr>
          <w:rFonts w:hint="eastAsia"/>
          <w:color w:val="auto"/>
          <w:szCs w:val="32"/>
          <w:lang w:eastAsia="zh-CN"/>
        </w:rPr>
        <w:t>镇</w:t>
      </w:r>
      <w:r>
        <w:rPr>
          <w:color w:val="auto"/>
          <w:spacing w:val="-3"/>
        </w:rPr>
        <w:t>防灾减灾救灾委员会</w:t>
      </w:r>
      <w:r>
        <w:rPr>
          <w:rFonts w:hint="eastAsia"/>
          <w:color w:val="auto"/>
          <w:spacing w:val="-3"/>
          <w:lang w:eastAsia="zh-CN"/>
        </w:rPr>
        <w:t>各</w:t>
      </w:r>
      <w:r>
        <w:rPr>
          <w:color w:val="auto"/>
          <w:spacing w:val="-3"/>
        </w:rPr>
        <w:t>成员</w:t>
      </w:r>
      <w:r>
        <w:rPr>
          <w:rFonts w:hint="eastAsia"/>
          <w:color w:val="auto"/>
          <w:spacing w:val="-3"/>
          <w:lang w:eastAsia="zh-CN"/>
        </w:rPr>
        <w:t>单位</w:t>
      </w:r>
      <w:r>
        <w:rPr>
          <w:color w:val="auto"/>
        </w:rPr>
        <w:t>协助受灾</w:t>
      </w:r>
      <w:r>
        <w:rPr>
          <w:rFonts w:hint="eastAsia"/>
          <w:color w:val="auto"/>
          <w:szCs w:val="32"/>
          <w:lang w:eastAsia="zh-CN"/>
        </w:rPr>
        <w:t>村（社区）</w:t>
      </w:r>
      <w:r>
        <w:rPr>
          <w:color w:val="auto"/>
        </w:rPr>
        <w:t>妥善安置受灾群众，加强集中安置点管理服务，保障受灾群众基本生活。</w:t>
      </w:r>
      <w:r>
        <w:rPr>
          <w:rFonts w:hint="eastAsia"/>
          <w:color w:val="auto"/>
        </w:rPr>
        <w:t>民生服务办公室</w:t>
      </w:r>
      <w:r>
        <w:rPr>
          <w:color w:val="auto"/>
        </w:rPr>
        <w:t>、</w:t>
      </w:r>
      <w:r>
        <w:rPr>
          <w:rFonts w:hint="eastAsia"/>
          <w:color w:val="auto"/>
          <w:lang w:eastAsia="zh-CN"/>
        </w:rPr>
        <w:t>红炉卫生院</w:t>
      </w:r>
      <w:r>
        <w:rPr>
          <w:color w:val="auto"/>
        </w:rPr>
        <w:t>及时组织医疗卫生队伍赴受灾</w:t>
      </w:r>
      <w:r>
        <w:rPr>
          <w:rFonts w:hint="eastAsia"/>
          <w:color w:val="auto"/>
          <w:szCs w:val="32"/>
        </w:rPr>
        <w:t>村（社区）</w:t>
      </w:r>
      <w:r>
        <w:rPr>
          <w:color w:val="auto"/>
        </w:rPr>
        <w:t>开展医疗救治、灾后防疫和心理援助等工作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（7）恢复灾区秩序。</w:t>
      </w:r>
      <w:r>
        <w:rPr>
          <w:rFonts w:hint="eastAsia"/>
          <w:color w:val="auto"/>
          <w:szCs w:val="32"/>
          <w:lang w:eastAsia="zh-CN"/>
        </w:rPr>
        <w:t>红炉派出所</w:t>
      </w:r>
      <w:r>
        <w:rPr>
          <w:color w:val="auto"/>
          <w:spacing w:val="-3"/>
        </w:rPr>
        <w:t>加强社会治安和道路</w:t>
      </w:r>
      <w:r>
        <w:rPr>
          <w:color w:val="auto"/>
        </w:rPr>
        <w:t>交通应急管理。</w:t>
      </w:r>
      <w:r>
        <w:rPr>
          <w:rFonts w:hint="eastAsia"/>
          <w:color w:val="auto"/>
          <w:lang w:eastAsia="zh-CN"/>
        </w:rPr>
        <w:t>经济发展办、产业发展服务中心</w:t>
      </w:r>
      <w:r>
        <w:rPr>
          <w:color w:val="auto"/>
        </w:rPr>
        <w:t>等部门做好保障市场供应工作，防止价格大幅波动。</w:t>
      </w:r>
      <w:r>
        <w:rPr>
          <w:rFonts w:hint="eastAsia"/>
          <w:color w:val="auto"/>
          <w:lang w:eastAsia="zh-CN"/>
        </w:rPr>
        <w:t>平安法治办、经济发展办</w:t>
      </w:r>
      <w:r>
        <w:rPr>
          <w:color w:val="auto"/>
        </w:rPr>
        <w:t>组织协调救灾物资装备、防护和消杀用品、药品和医疗器械等供应工作。</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（8）抢修基础设施。</w:t>
      </w:r>
      <w:r>
        <w:rPr>
          <w:rFonts w:hint="eastAsia"/>
          <w:color w:val="auto"/>
          <w:szCs w:val="32"/>
        </w:rPr>
        <w:t>村镇建设服务中心</w:t>
      </w:r>
      <w:r>
        <w:rPr>
          <w:color w:val="auto"/>
          <w:spacing w:val="-3"/>
        </w:rPr>
        <w:t>负责开展灾后房屋建筑</w:t>
      </w:r>
      <w:r>
        <w:rPr>
          <w:color w:val="auto"/>
        </w:rPr>
        <w:t>安全应急评估</w:t>
      </w:r>
      <w:r>
        <w:rPr>
          <w:rFonts w:hint="eastAsia"/>
          <w:color w:val="auto"/>
          <w:lang w:eastAsia="zh-CN"/>
        </w:rPr>
        <w:t>和</w:t>
      </w:r>
      <w:r>
        <w:rPr>
          <w:color w:val="auto"/>
        </w:rPr>
        <w:t>受损公路交通修复工作，</w:t>
      </w:r>
      <w:r>
        <w:rPr>
          <w:rFonts w:hint="eastAsia"/>
          <w:color w:val="auto"/>
        </w:rPr>
        <w:t>综合行政执法大队</w:t>
      </w:r>
      <w:r>
        <w:rPr>
          <w:color w:val="auto"/>
        </w:rPr>
        <w:t>负责开展灾后市政基础设施安全评估工作，</w:t>
      </w:r>
      <w:r>
        <w:rPr>
          <w:rFonts w:hint="eastAsia"/>
          <w:color w:val="auto"/>
        </w:rPr>
        <w:t>产业发展服务中心</w:t>
      </w:r>
      <w:r>
        <w:rPr>
          <w:color w:val="auto"/>
        </w:rPr>
        <w:t>负责开展水利水电工程设施修复、村镇应急供水工作，</w:t>
      </w:r>
      <w:r>
        <w:rPr>
          <w:rFonts w:hint="eastAsia"/>
          <w:color w:val="auto"/>
          <w:lang w:eastAsia="zh-CN"/>
        </w:rPr>
        <w:t>经济发展办</w:t>
      </w:r>
      <w:r>
        <w:rPr>
          <w:color w:val="auto"/>
          <w:szCs w:val="32"/>
        </w:rPr>
        <w:t>、</w:t>
      </w:r>
      <w:r>
        <w:rPr>
          <w:rFonts w:hint="eastAsia"/>
          <w:color w:val="auto"/>
          <w:szCs w:val="32"/>
          <w:lang w:eastAsia="zh-CN"/>
        </w:rPr>
        <w:t>双石供电所</w:t>
      </w:r>
      <w:r>
        <w:rPr>
          <w:color w:val="auto"/>
        </w:rPr>
        <w:t>负责开展电力应急保障工作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w:t>
      </w:r>
      <w:r>
        <w:rPr>
          <w:rFonts w:hint="eastAsia"/>
          <w:color w:val="auto"/>
          <w:szCs w:val="32"/>
          <w:lang w:val="en-US" w:eastAsia="zh-CN"/>
        </w:rPr>
        <w:t>9</w:t>
      </w:r>
      <w:r>
        <w:rPr>
          <w:color w:val="auto"/>
          <w:szCs w:val="32"/>
        </w:rPr>
        <w:t>）加强新闻宣传。</w:t>
      </w:r>
      <w:r>
        <w:rPr>
          <w:rFonts w:hint="eastAsia"/>
          <w:color w:val="auto"/>
          <w:szCs w:val="32"/>
          <w:lang w:eastAsia="zh-CN"/>
        </w:rPr>
        <w:t>镇新时代文明实践服务中心</w:t>
      </w:r>
      <w:r>
        <w:rPr>
          <w:color w:val="auto"/>
        </w:rPr>
        <w:t>统筹负责新闻宣传和舆论引导工作，协调指导媒体客观报道</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w:t>
      </w:r>
      <w:r>
        <w:rPr>
          <w:rFonts w:hint="eastAsia"/>
          <w:color w:val="auto"/>
          <w:szCs w:val="32"/>
          <w:lang w:val="en-US" w:eastAsia="zh-CN"/>
        </w:rPr>
        <w:t>10</w:t>
      </w:r>
      <w:r>
        <w:rPr>
          <w:color w:val="auto"/>
          <w:szCs w:val="32"/>
        </w:rPr>
        <w:t>）开展损失评估。</w:t>
      </w:r>
      <w:r>
        <w:rPr>
          <w:color w:val="auto"/>
        </w:rPr>
        <w:t>灾情稳定后，</w:t>
      </w:r>
      <w:r>
        <w:rPr>
          <w:rFonts w:hint="eastAsia"/>
          <w:color w:val="auto"/>
          <w:lang w:eastAsia="zh-CN"/>
        </w:rPr>
        <w:t>镇</w:t>
      </w:r>
      <w:r>
        <w:rPr>
          <w:color w:val="auto"/>
        </w:rPr>
        <w:t>防灾减灾救灾委员会办公室组织有关成员单位开展灾害损失综合评估工作，及时将结果报送</w:t>
      </w:r>
      <w:r>
        <w:rPr>
          <w:rFonts w:hint="eastAsia"/>
          <w:color w:val="auto"/>
          <w:lang w:eastAsia="zh-CN"/>
        </w:rPr>
        <w:t>区</w:t>
      </w:r>
      <w:r>
        <w:rPr>
          <w:color w:val="auto"/>
        </w:rPr>
        <w:t>防灾减灾救灾委员会办公室。</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w:t>
      </w:r>
      <w:r>
        <w:rPr>
          <w:rFonts w:hint="eastAsia"/>
          <w:color w:val="auto"/>
          <w:szCs w:val="32"/>
          <w:lang w:val="en-US" w:eastAsia="zh-CN"/>
        </w:rPr>
        <w:t>11</w:t>
      </w:r>
      <w:r>
        <w:rPr>
          <w:color w:val="auto"/>
          <w:szCs w:val="32"/>
        </w:rPr>
        <w:t>）</w:t>
      </w:r>
      <w:r>
        <w:rPr>
          <w:rFonts w:hint="eastAsia"/>
          <w:color w:val="auto"/>
          <w:szCs w:val="32"/>
          <w:lang w:eastAsia="zh-CN"/>
        </w:rPr>
        <w:t>镇</w:t>
      </w:r>
      <w:r>
        <w:rPr>
          <w:color w:val="auto"/>
        </w:rPr>
        <w:t>防灾减灾救灾委员会其他成员单位按照职责分工做好有关工作</w:t>
      </w:r>
      <w:r>
        <w:rPr>
          <w:color w:val="auto"/>
          <w:szCs w:val="32"/>
        </w:rPr>
        <w:t>。</w:t>
      </w:r>
    </w:p>
    <w:p>
      <w:pPr>
        <w:pageBreakBefore w:val="0"/>
        <w:widowControl/>
        <w:kinsoku/>
        <w:wordWrap/>
        <w:overflowPunct/>
        <w:topLinePunct w:val="0"/>
        <w:autoSpaceDN/>
        <w:bidi w:val="0"/>
        <w:snapToGrid w:val="0"/>
        <w:spacing w:line="594" w:lineRule="exact"/>
        <w:ind w:left="0" w:leftChars="0" w:firstLine="640" w:firstLineChars="200"/>
        <w:textAlignment w:val="auto"/>
        <w:rPr>
          <w:color w:val="auto"/>
          <w:szCs w:val="32"/>
        </w:rPr>
      </w:pPr>
      <w:r>
        <w:rPr>
          <w:color w:val="auto"/>
          <w:szCs w:val="32"/>
        </w:rPr>
        <w:t>（1</w:t>
      </w:r>
      <w:r>
        <w:rPr>
          <w:rFonts w:hint="eastAsia"/>
          <w:color w:val="auto"/>
          <w:szCs w:val="32"/>
          <w:lang w:val="en-US" w:eastAsia="zh-CN"/>
        </w:rPr>
        <w:t>2</w:t>
      </w:r>
      <w:r>
        <w:rPr>
          <w:color w:val="auto"/>
          <w:szCs w:val="32"/>
        </w:rPr>
        <w:t>）</w:t>
      </w:r>
      <w:r>
        <w:rPr>
          <w:rFonts w:hint="eastAsia"/>
          <w:color w:val="auto"/>
          <w:szCs w:val="32"/>
          <w:lang w:eastAsia="zh-CN"/>
        </w:rPr>
        <w:t>镇</w:t>
      </w:r>
      <w:r>
        <w:rPr>
          <w:color w:val="auto"/>
          <w:szCs w:val="32"/>
        </w:rPr>
        <w:t>防灾减灾救灾委员会办公室</w:t>
      </w:r>
      <w:r>
        <w:rPr>
          <w:color w:val="auto"/>
        </w:rPr>
        <w:t>及时汇总灾害救助工作情况，</w:t>
      </w:r>
      <w:r>
        <w:rPr>
          <w:color w:val="auto"/>
          <w:szCs w:val="32"/>
        </w:rPr>
        <w:t>按程序向</w:t>
      </w:r>
      <w:r>
        <w:rPr>
          <w:rFonts w:hint="eastAsia"/>
          <w:color w:val="auto"/>
          <w:szCs w:val="32"/>
          <w:lang w:eastAsia="zh-CN"/>
        </w:rPr>
        <w:t>镇党委政府</w:t>
      </w:r>
      <w:r>
        <w:rPr>
          <w:color w:val="auto"/>
          <w:szCs w:val="32"/>
        </w:rPr>
        <w:t>及</w:t>
      </w:r>
      <w:r>
        <w:rPr>
          <w:rFonts w:hint="eastAsia"/>
          <w:color w:val="auto"/>
          <w:szCs w:val="32"/>
          <w:lang w:eastAsia="zh-CN"/>
        </w:rPr>
        <w:t>区</w:t>
      </w:r>
      <w:r>
        <w:rPr>
          <w:color w:val="auto"/>
          <w:szCs w:val="32"/>
        </w:rPr>
        <w:t>防灾减灾救灾委员会办公室报告。</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highlight w:val="none"/>
        </w:rPr>
      </w:pPr>
      <w:bookmarkStart w:id="13" w:name="_Toc20595"/>
      <w:r>
        <w:rPr>
          <w:rFonts w:eastAsia="方正楷体_GBK"/>
          <w:color w:val="auto"/>
          <w:szCs w:val="32"/>
          <w:highlight w:val="none"/>
        </w:rPr>
        <w:t>5.2　二级响应</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5.2.1　启动条件</w:t>
      </w:r>
    </w:p>
    <w:p>
      <w:pPr>
        <w:pageBreakBefore w:val="0"/>
        <w:widowControl/>
        <w:kinsoku/>
        <w:wordWrap/>
        <w:overflowPunct/>
        <w:topLinePunct w:val="0"/>
        <w:autoSpaceDN/>
        <w:bidi w:val="0"/>
        <w:snapToGrid w:val="0"/>
        <w:spacing w:line="594" w:lineRule="exact"/>
        <w:ind w:firstLine="640" w:firstLineChars="200"/>
        <w:textAlignment w:val="auto"/>
        <w:rPr>
          <w:rFonts w:hint="eastAsia" w:eastAsia="方正仿宋_GBK"/>
          <w:color w:val="auto"/>
          <w:szCs w:val="32"/>
          <w:lang w:eastAsia="zh-CN"/>
        </w:rPr>
      </w:pPr>
      <w:r>
        <w:rPr>
          <w:color w:val="auto"/>
          <w:szCs w:val="32"/>
        </w:rPr>
        <w:t>发生自然灾害，</w:t>
      </w:r>
      <w:r>
        <w:rPr>
          <w:color w:val="auto"/>
        </w:rPr>
        <w:t>一次灾害过程</w:t>
      </w:r>
      <w:r>
        <w:rPr>
          <w:rFonts w:hint="eastAsia"/>
          <w:color w:val="auto"/>
          <w:lang w:eastAsia="zh-CN"/>
        </w:rPr>
        <w:t>出现</w:t>
      </w:r>
      <w:r>
        <w:rPr>
          <w:color w:val="auto"/>
        </w:rPr>
        <w:t>或经会商研判可能</w:t>
      </w:r>
      <w:r>
        <w:rPr>
          <w:rFonts w:hint="eastAsia"/>
          <w:color w:val="auto"/>
          <w:lang w:eastAsia="zh-CN"/>
        </w:rPr>
        <w:t>达到下列</w:t>
      </w:r>
      <w:r>
        <w:rPr>
          <w:rFonts w:hint="eastAsia"/>
          <w:color w:val="auto"/>
        </w:rPr>
        <w:t>区级自然灾害救助应急响应</w:t>
      </w:r>
      <w:r>
        <w:rPr>
          <w:rFonts w:hint="eastAsia"/>
          <w:color w:val="auto"/>
          <w:lang w:eastAsia="zh-CN"/>
        </w:rPr>
        <w:t>二级标准之一的</w:t>
      </w:r>
      <w:r>
        <w:rPr>
          <w:rFonts w:hint="eastAsia" w:hAnsi="宋体" w:cs="宋体"/>
          <w:color w:val="auto"/>
          <w:lang w:eastAsia="zh-CN"/>
        </w:rPr>
        <w:t>，按区防灾减灾救灾委员会要求启动二级响应。</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（1）死亡和失踪10人以上、20人以下；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（2）紧急转移安置和需紧急生活救助5000人以上、1万人以下；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（3）倒塌和严重损坏房屋1000间或300户以上、2000间或600户以下；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（4）干旱灾害造成缺粮或缺水等生活困难，</w:t>
      </w:r>
      <w:r>
        <w:rPr>
          <w:color w:val="auto"/>
        </w:rPr>
        <w:t>需救助人数达</w:t>
      </w:r>
      <w:r>
        <w:rPr>
          <w:color w:val="auto"/>
          <w:szCs w:val="32"/>
        </w:rPr>
        <w:t>8万人以上、10万人以下。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（5）</w:t>
      </w:r>
      <w:r>
        <w:rPr>
          <w:rFonts w:hint="eastAsia"/>
          <w:color w:val="auto"/>
          <w:lang w:eastAsia="zh-CN"/>
        </w:rPr>
        <w:t>镇</w:t>
      </w:r>
      <w:r>
        <w:rPr>
          <w:color w:val="auto"/>
          <w:spacing w:val="1"/>
        </w:rPr>
        <w:t>防灾减灾救灾委员会研判认为需启动二级响应的其他</w:t>
      </w:r>
      <w:r>
        <w:rPr>
          <w:color w:val="auto"/>
        </w:rPr>
        <w:t>情况</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5.2.2　启动程序</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自然灾害发生后，经分析评估灾情达到二级响应启动条件，</w:t>
      </w:r>
      <w:r>
        <w:rPr>
          <w:rFonts w:hint="eastAsia"/>
          <w:color w:val="auto"/>
          <w:lang w:eastAsia="zh-CN"/>
        </w:rPr>
        <w:t>镇</w:t>
      </w:r>
      <w:r>
        <w:rPr>
          <w:color w:val="auto"/>
        </w:rPr>
        <w:t>防灾减灾救灾委员会办公室提出启动建议，由</w:t>
      </w:r>
      <w:r>
        <w:rPr>
          <w:rFonts w:hint="eastAsia"/>
          <w:color w:val="auto"/>
          <w:lang w:eastAsia="zh-CN"/>
        </w:rPr>
        <w:t>镇</w:t>
      </w:r>
      <w:r>
        <w:rPr>
          <w:color w:val="auto"/>
        </w:rPr>
        <w:t>防灾减灾救灾委员会副主任决定启动</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5.2.3　响应措施</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（1）会商研判灾情。</w:t>
      </w:r>
      <w:r>
        <w:rPr>
          <w:rFonts w:hint="eastAsia"/>
          <w:color w:val="auto"/>
          <w:spacing w:val="-3"/>
          <w:lang w:eastAsia="zh-CN"/>
        </w:rPr>
        <w:t>镇</w:t>
      </w:r>
      <w:r>
        <w:rPr>
          <w:color w:val="auto"/>
          <w:spacing w:val="-3"/>
        </w:rPr>
        <w:t>防灾减灾救灾委员会召开会商会议，</w:t>
      </w:r>
      <w:r>
        <w:rPr>
          <w:color w:val="auto"/>
        </w:rPr>
        <w:t>研判灾情和救灾形势，安排部署救助工作，指导支持受灾</w:t>
      </w:r>
      <w:r>
        <w:rPr>
          <w:rFonts w:hint="eastAsia"/>
          <w:color w:val="auto"/>
          <w:lang w:eastAsia="zh-CN"/>
        </w:rPr>
        <w:t>村</w:t>
      </w:r>
      <w:r>
        <w:rPr>
          <w:color w:val="auto"/>
        </w:rPr>
        <w:t>（</w:t>
      </w:r>
      <w:r>
        <w:rPr>
          <w:rFonts w:hint="eastAsia"/>
          <w:color w:val="auto"/>
          <w:lang w:eastAsia="zh-CN"/>
        </w:rPr>
        <w:t>社区</w:t>
      </w:r>
      <w:r>
        <w:rPr>
          <w:color w:val="auto"/>
        </w:rPr>
        <w:t>）开展救灾</w:t>
      </w:r>
      <w:r>
        <w:rPr>
          <w:rFonts w:hint="eastAsia"/>
          <w:color w:val="auto"/>
          <w:lang w:eastAsia="zh-CN"/>
        </w:rPr>
        <w:t>，并</w:t>
      </w:r>
      <w:r>
        <w:rPr>
          <w:color w:val="auto"/>
        </w:rPr>
        <w:t>及时向上级主管部门报告</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（2）实地开展工作。</w:t>
      </w:r>
      <w:r>
        <w:rPr>
          <w:rFonts w:hint="eastAsia"/>
          <w:color w:val="auto"/>
          <w:szCs w:val="32"/>
          <w:lang w:eastAsia="zh-CN"/>
        </w:rPr>
        <w:t>镇</w:t>
      </w:r>
      <w:r>
        <w:rPr>
          <w:color w:val="auto"/>
          <w:spacing w:val="-3"/>
        </w:rPr>
        <w:t>防灾减灾救灾委员会安排工作组赴受</w:t>
      </w:r>
      <w:r>
        <w:rPr>
          <w:color w:val="auto"/>
        </w:rPr>
        <w:t>灾</w:t>
      </w:r>
      <w:r>
        <w:rPr>
          <w:rFonts w:hint="eastAsia"/>
          <w:color w:val="auto"/>
          <w:lang w:eastAsia="zh-CN"/>
        </w:rPr>
        <w:t>村</w:t>
      </w:r>
      <w:r>
        <w:rPr>
          <w:color w:val="auto"/>
        </w:rPr>
        <w:t>（</w:t>
      </w:r>
      <w:r>
        <w:rPr>
          <w:rFonts w:hint="eastAsia"/>
          <w:color w:val="auto"/>
          <w:lang w:eastAsia="zh-CN"/>
        </w:rPr>
        <w:t>社区</w:t>
      </w:r>
      <w:r>
        <w:rPr>
          <w:color w:val="auto"/>
        </w:rPr>
        <w:t>）指导救助工作，核查灾情，慰问受灾群众。</w:t>
      </w:r>
    </w:p>
    <w:p>
      <w:pPr>
        <w:pageBreakBefore w:val="0"/>
        <w:widowControl/>
        <w:kinsoku/>
        <w:wordWrap/>
        <w:overflowPunct/>
        <w:topLinePunct w:val="0"/>
        <w:autoSpaceDN/>
        <w:bidi w:val="0"/>
        <w:snapToGrid w:val="0"/>
        <w:spacing w:line="594" w:lineRule="exact"/>
        <w:ind w:firstLine="628" w:firstLineChars="200"/>
        <w:textAlignment w:val="auto"/>
        <w:rPr>
          <w:rFonts w:hAnsi="宋体" w:cs="宋体"/>
          <w:color w:val="auto"/>
          <w:spacing w:val="-3"/>
        </w:rPr>
      </w:pPr>
      <w:r>
        <w:rPr>
          <w:rFonts w:hAnsi="宋体" w:cs="宋体"/>
          <w:color w:val="auto"/>
          <w:spacing w:val="-3"/>
        </w:rPr>
        <w:t>（3）汇总统计灾情。</w:t>
      </w:r>
      <w:r>
        <w:rPr>
          <w:rFonts w:hint="eastAsia" w:hAnsi="宋体" w:cs="宋体"/>
          <w:color w:val="auto"/>
          <w:spacing w:val="-3"/>
          <w:lang w:eastAsia="zh-CN"/>
        </w:rPr>
        <w:t>镇</w:t>
      </w:r>
      <w:r>
        <w:rPr>
          <w:rFonts w:hAnsi="宋体" w:cs="宋体"/>
          <w:color w:val="auto"/>
          <w:spacing w:val="-3"/>
        </w:rPr>
        <w:t>防灾减灾救灾委员会有关成员单位应每日向</w:t>
      </w:r>
      <w:r>
        <w:rPr>
          <w:rFonts w:hint="eastAsia" w:hAnsi="宋体" w:cs="宋体"/>
          <w:color w:val="auto"/>
          <w:spacing w:val="-3"/>
          <w:lang w:eastAsia="zh-CN"/>
        </w:rPr>
        <w:t>镇</w:t>
      </w:r>
      <w:r>
        <w:rPr>
          <w:rFonts w:hAnsi="宋体" w:cs="宋体"/>
          <w:color w:val="auto"/>
          <w:spacing w:val="-3"/>
        </w:rPr>
        <w:t>防灾减灾救灾委员会办公室报告灾情、受灾</w:t>
      </w:r>
      <w:r>
        <w:rPr>
          <w:rFonts w:hint="eastAsia" w:hAnsi="宋体" w:cs="宋体"/>
          <w:color w:val="auto"/>
          <w:spacing w:val="-3"/>
        </w:rPr>
        <w:t>村（社区）</w:t>
      </w:r>
      <w:r>
        <w:rPr>
          <w:rFonts w:hAnsi="宋体" w:cs="宋体"/>
          <w:color w:val="auto"/>
          <w:spacing w:val="-3"/>
        </w:rPr>
        <w:t>需求、救灾工作动态等信息。</w:t>
      </w:r>
      <w:r>
        <w:rPr>
          <w:rFonts w:hint="eastAsia" w:hAnsi="宋体" w:cs="宋体"/>
          <w:color w:val="auto"/>
          <w:spacing w:val="-3"/>
          <w:lang w:eastAsia="zh-CN"/>
        </w:rPr>
        <w:t>镇</w:t>
      </w:r>
      <w:r>
        <w:rPr>
          <w:rFonts w:hAnsi="宋体" w:cs="宋体"/>
          <w:color w:val="auto"/>
          <w:spacing w:val="-3"/>
        </w:rPr>
        <w:t>防灾减灾救灾委员会办公室及时掌握灾情和救灾工作动态信息，汇总受灾</w:t>
      </w:r>
      <w:r>
        <w:rPr>
          <w:rFonts w:hint="eastAsia" w:hAnsi="宋体" w:cs="宋体"/>
          <w:color w:val="auto"/>
          <w:spacing w:val="-3"/>
        </w:rPr>
        <w:t>村（社区）</w:t>
      </w:r>
      <w:r>
        <w:rPr>
          <w:rFonts w:hAnsi="宋体" w:cs="宋体"/>
          <w:color w:val="auto"/>
          <w:spacing w:val="-3"/>
        </w:rPr>
        <w:t>需求，必要时组织专家开展灾情发展趋势研判及受灾</w:t>
      </w:r>
      <w:r>
        <w:rPr>
          <w:rFonts w:hint="eastAsia" w:hAnsi="宋体" w:cs="宋体"/>
          <w:color w:val="auto"/>
          <w:spacing w:val="-3"/>
          <w:lang w:eastAsia="zh-CN"/>
        </w:rPr>
        <w:t>村</w:t>
      </w:r>
      <w:r>
        <w:rPr>
          <w:rFonts w:hAnsi="宋体" w:cs="宋体"/>
          <w:color w:val="auto"/>
          <w:spacing w:val="-3"/>
        </w:rPr>
        <w:t>（</w:t>
      </w:r>
      <w:r>
        <w:rPr>
          <w:rFonts w:hint="eastAsia" w:hAnsi="宋体" w:cs="宋体"/>
          <w:color w:val="auto"/>
          <w:spacing w:val="-3"/>
          <w:lang w:eastAsia="zh-CN"/>
        </w:rPr>
        <w:t>社区</w:t>
      </w:r>
      <w:r>
        <w:rPr>
          <w:rFonts w:hAnsi="宋体" w:cs="宋体"/>
          <w:color w:val="auto"/>
          <w:spacing w:val="-3"/>
        </w:rPr>
        <w:t>）需求评估。</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（4）调拨救灾款物。</w:t>
      </w:r>
      <w:r>
        <w:rPr>
          <w:rFonts w:hint="eastAsia"/>
          <w:color w:val="auto"/>
          <w:szCs w:val="32"/>
          <w:lang w:eastAsia="zh-CN"/>
        </w:rPr>
        <w:t>镇经济发展办要配合镇平安法治办</w:t>
      </w:r>
      <w:r>
        <w:rPr>
          <w:color w:val="auto"/>
          <w:szCs w:val="32"/>
        </w:rPr>
        <w:t>统筹安排自然灾害救助资金。根据灾害发生发展趋势研判，</w:t>
      </w:r>
      <w:r>
        <w:rPr>
          <w:rFonts w:hint="eastAsia"/>
          <w:color w:val="auto"/>
          <w:szCs w:val="32"/>
        </w:rPr>
        <w:t>积极向上级部门申请救灾款物，</w:t>
      </w:r>
      <w:r>
        <w:rPr>
          <w:color w:val="auto"/>
        </w:rPr>
        <w:t>落实自然灾害救助应急措施，救灾款物使用监督</w:t>
      </w:r>
      <w:r>
        <w:rPr>
          <w:rFonts w:hint="eastAsia"/>
          <w:color w:val="auto"/>
          <w:lang w:eastAsia="zh-CN"/>
        </w:rPr>
        <w:t>，</w:t>
      </w:r>
      <w:r>
        <w:rPr>
          <w:color w:val="auto"/>
          <w:szCs w:val="32"/>
        </w:rPr>
        <w:t>做好灾害救助工作。</w:t>
      </w:r>
      <w:r>
        <w:rPr>
          <w:rFonts w:hint="eastAsia"/>
          <w:color w:val="auto"/>
          <w:lang w:eastAsia="zh-CN"/>
        </w:rPr>
        <w:t>综合行政执法大队、村镇建设服务中心、双石红炉永荣派出所联勤组负责</w:t>
      </w:r>
      <w:r>
        <w:rPr>
          <w:color w:val="auto"/>
        </w:rPr>
        <w:t>负责物流保通保畅，组织开展救灾物资、人员运输与重要通道快速修复等工作，保障各类救灾物资运输畅通和人员及时转运</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（5）投入救灾力量。</w:t>
      </w:r>
      <w:r>
        <w:rPr>
          <w:rFonts w:hint="eastAsia"/>
          <w:color w:val="auto"/>
          <w:szCs w:val="32"/>
        </w:rPr>
        <w:t>镇平安法治办统筹调度</w:t>
      </w:r>
      <w:r>
        <w:rPr>
          <w:rFonts w:hint="eastAsia"/>
          <w:color w:val="auto"/>
          <w:szCs w:val="32"/>
          <w:lang w:eastAsia="zh-CN"/>
        </w:rPr>
        <w:t>镇</w:t>
      </w:r>
      <w:r>
        <w:rPr>
          <w:color w:val="auto"/>
          <w:szCs w:val="32"/>
        </w:rPr>
        <w:t>内各类救援队伍开展救灾，积极帮助受灾</w:t>
      </w:r>
      <w:r>
        <w:rPr>
          <w:rFonts w:hint="eastAsia"/>
          <w:color w:val="auto"/>
          <w:szCs w:val="32"/>
          <w:lang w:eastAsia="zh-CN"/>
        </w:rPr>
        <w:t>村（社区）</w:t>
      </w:r>
      <w:r>
        <w:rPr>
          <w:color w:val="auto"/>
          <w:szCs w:val="32"/>
        </w:rPr>
        <w:t>转移受灾群众、运送发放救灾物资等。督促相关企业</w:t>
      </w:r>
      <w:r>
        <w:rPr>
          <w:color w:val="auto"/>
        </w:rPr>
        <w:t>参与抢险救援、基础设施抢险恢复等工</w:t>
      </w:r>
      <w:r>
        <w:rPr>
          <w:color w:val="auto"/>
          <w:szCs w:val="32"/>
        </w:rPr>
        <w:t>作。</w:t>
      </w:r>
      <w:r>
        <w:rPr>
          <w:rFonts w:hint="eastAsia"/>
          <w:color w:val="auto"/>
          <w:szCs w:val="32"/>
        </w:rPr>
        <w:t>党的建设办公室</w:t>
      </w:r>
      <w:r>
        <w:rPr>
          <w:color w:val="auto"/>
        </w:rPr>
        <w:t>会同</w:t>
      </w:r>
      <w:r>
        <w:rPr>
          <w:rFonts w:hint="eastAsia"/>
          <w:color w:val="auto"/>
          <w:lang w:eastAsia="zh-CN"/>
        </w:rPr>
        <w:t>镇</w:t>
      </w:r>
      <w:r>
        <w:rPr>
          <w:color w:val="auto"/>
          <w:spacing w:val="-3"/>
        </w:rPr>
        <w:t>级有关部门协调指导志愿服务力量参与灾害救助工作</w:t>
      </w:r>
      <w:r>
        <w:rPr>
          <w:color w:val="auto"/>
          <w:szCs w:val="32"/>
        </w:rPr>
        <w:t>。</w:t>
      </w:r>
      <w:r>
        <w:rPr>
          <w:rFonts w:hint="eastAsia"/>
          <w:color w:val="auto"/>
          <w:szCs w:val="32"/>
          <w:lang w:eastAsia="zh-CN"/>
        </w:rPr>
        <w:t>镇武装部</w:t>
      </w:r>
      <w:r>
        <w:rPr>
          <w:color w:val="auto"/>
          <w:szCs w:val="32"/>
        </w:rPr>
        <w:t>组织协调武警部队、民兵参与救灾，协助受灾</w:t>
      </w:r>
      <w:r>
        <w:rPr>
          <w:rFonts w:hint="eastAsia"/>
          <w:color w:val="auto"/>
          <w:szCs w:val="32"/>
        </w:rPr>
        <w:t>村（社区）</w:t>
      </w:r>
      <w:r>
        <w:rPr>
          <w:color w:val="auto"/>
        </w:rPr>
        <w:t>做好灾害救助工作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（6）安置受灾群众。</w:t>
      </w:r>
      <w:r>
        <w:rPr>
          <w:rFonts w:hint="eastAsia"/>
          <w:color w:val="auto"/>
          <w:szCs w:val="32"/>
          <w:lang w:eastAsia="zh-CN"/>
        </w:rPr>
        <w:t>镇</w:t>
      </w:r>
      <w:r>
        <w:rPr>
          <w:color w:val="auto"/>
          <w:spacing w:val="-3"/>
        </w:rPr>
        <w:t>防灾减灾救灾委员会</w:t>
      </w:r>
      <w:r>
        <w:rPr>
          <w:rFonts w:hint="eastAsia"/>
          <w:color w:val="auto"/>
          <w:spacing w:val="-3"/>
          <w:lang w:eastAsia="zh-CN"/>
        </w:rPr>
        <w:t>各</w:t>
      </w:r>
      <w:r>
        <w:rPr>
          <w:color w:val="auto"/>
          <w:spacing w:val="-3"/>
        </w:rPr>
        <w:t>成员</w:t>
      </w:r>
      <w:r>
        <w:rPr>
          <w:color w:val="auto"/>
        </w:rPr>
        <w:t>单位协助受灾</w:t>
      </w:r>
      <w:r>
        <w:rPr>
          <w:rFonts w:hint="eastAsia"/>
          <w:color w:val="auto"/>
        </w:rPr>
        <w:t>村（社区）</w:t>
      </w:r>
      <w:r>
        <w:rPr>
          <w:color w:val="auto"/>
        </w:rPr>
        <w:t>妥善安置受灾群众，加强集中安置点管理服务，保障受灾群众基本生活。</w:t>
      </w:r>
      <w:r>
        <w:rPr>
          <w:rFonts w:hint="eastAsia"/>
          <w:color w:val="auto"/>
        </w:rPr>
        <w:t>民生服务办公室、红炉卫生院</w:t>
      </w:r>
      <w:r>
        <w:rPr>
          <w:color w:val="auto"/>
        </w:rPr>
        <w:t>及时组织医疗卫生队伍赴受灾</w:t>
      </w:r>
      <w:r>
        <w:rPr>
          <w:rFonts w:hint="eastAsia"/>
          <w:color w:val="auto"/>
          <w:szCs w:val="32"/>
        </w:rPr>
        <w:t>村（社区）</w:t>
      </w:r>
      <w:r>
        <w:rPr>
          <w:color w:val="auto"/>
        </w:rPr>
        <w:t>开展医疗救治、灾后防疫和心理援助等工作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（7）恢复灾区秩序。</w:t>
      </w:r>
      <w:r>
        <w:rPr>
          <w:rFonts w:hint="eastAsia"/>
          <w:color w:val="auto"/>
          <w:szCs w:val="32"/>
          <w:lang w:eastAsia="zh-CN"/>
        </w:rPr>
        <w:t>红炉派出所</w:t>
      </w:r>
      <w:r>
        <w:rPr>
          <w:color w:val="auto"/>
          <w:spacing w:val="-3"/>
        </w:rPr>
        <w:t>加强社会治安和道路</w:t>
      </w:r>
      <w:r>
        <w:rPr>
          <w:color w:val="auto"/>
        </w:rPr>
        <w:t>交通应急管理。</w:t>
      </w:r>
      <w:r>
        <w:rPr>
          <w:rFonts w:hint="eastAsia"/>
          <w:color w:val="auto"/>
          <w:lang w:eastAsia="zh-CN"/>
        </w:rPr>
        <w:t>经济发展办、产业发展服务中心</w:t>
      </w:r>
      <w:r>
        <w:rPr>
          <w:color w:val="auto"/>
        </w:rPr>
        <w:t>等部门做好保障市场供应工作，防止价格大幅波动。</w:t>
      </w:r>
      <w:r>
        <w:rPr>
          <w:rFonts w:hint="eastAsia"/>
          <w:color w:val="auto"/>
          <w:lang w:eastAsia="zh-CN"/>
        </w:rPr>
        <w:t>平安法治办、经济发展办</w:t>
      </w:r>
      <w:r>
        <w:rPr>
          <w:color w:val="auto"/>
        </w:rPr>
        <w:t>组织协调救灾物资装备、防护和消杀用品、药品和医疗器械等供应工作。</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（8）抢修基础设施。</w:t>
      </w:r>
      <w:r>
        <w:rPr>
          <w:rFonts w:hint="eastAsia"/>
          <w:color w:val="auto"/>
          <w:szCs w:val="32"/>
        </w:rPr>
        <w:t>村镇建设服务中心</w:t>
      </w:r>
      <w:r>
        <w:rPr>
          <w:color w:val="auto"/>
          <w:spacing w:val="-3"/>
        </w:rPr>
        <w:t>负责开展灾后房屋建筑</w:t>
      </w:r>
      <w:r>
        <w:rPr>
          <w:color w:val="auto"/>
        </w:rPr>
        <w:t>安全应急评估</w:t>
      </w:r>
      <w:r>
        <w:rPr>
          <w:rFonts w:hint="eastAsia"/>
          <w:color w:val="auto"/>
          <w:lang w:eastAsia="zh-CN"/>
        </w:rPr>
        <w:t>和</w:t>
      </w:r>
      <w:r>
        <w:rPr>
          <w:color w:val="auto"/>
        </w:rPr>
        <w:t>受损公路交通修复工作，</w:t>
      </w:r>
      <w:r>
        <w:rPr>
          <w:rFonts w:hint="eastAsia"/>
          <w:color w:val="auto"/>
        </w:rPr>
        <w:t>综合行政执法大队负责开展灾后市政基础设施安全评估工作，产业发展服务中心负责开展水利水电工程设施修复、村镇应急供水工作</w:t>
      </w:r>
      <w:r>
        <w:rPr>
          <w:color w:val="auto"/>
        </w:rPr>
        <w:t>，</w:t>
      </w:r>
      <w:r>
        <w:rPr>
          <w:rFonts w:hint="eastAsia"/>
          <w:color w:val="auto"/>
          <w:lang w:eastAsia="zh-CN"/>
        </w:rPr>
        <w:t>经济发展办</w:t>
      </w:r>
      <w:r>
        <w:rPr>
          <w:color w:val="auto"/>
          <w:szCs w:val="32"/>
        </w:rPr>
        <w:t>、</w:t>
      </w:r>
      <w:r>
        <w:rPr>
          <w:rFonts w:hint="eastAsia"/>
          <w:color w:val="auto"/>
          <w:szCs w:val="32"/>
          <w:lang w:eastAsia="zh-CN"/>
        </w:rPr>
        <w:t>双石供电所</w:t>
      </w:r>
      <w:r>
        <w:rPr>
          <w:color w:val="auto"/>
        </w:rPr>
        <w:t>负责开展电力应急保障工作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（9）加强新闻宣传。</w:t>
      </w:r>
      <w:r>
        <w:rPr>
          <w:rFonts w:hint="eastAsia"/>
          <w:color w:val="auto"/>
          <w:szCs w:val="32"/>
          <w:lang w:eastAsia="zh-CN"/>
        </w:rPr>
        <w:t>镇新时代文明实践服务中心</w:t>
      </w:r>
      <w:r>
        <w:rPr>
          <w:color w:val="auto"/>
        </w:rPr>
        <w:t>统筹负责新闻宣传和舆论引导工作，协调指导媒体客观报道</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w:t>
      </w:r>
      <w:r>
        <w:rPr>
          <w:rFonts w:hint="eastAsia"/>
          <w:color w:val="auto"/>
          <w:szCs w:val="32"/>
          <w:lang w:val="en-US" w:eastAsia="zh-CN"/>
        </w:rPr>
        <w:t>10</w:t>
      </w:r>
      <w:r>
        <w:rPr>
          <w:color w:val="auto"/>
          <w:szCs w:val="32"/>
        </w:rPr>
        <w:t>）开展损失评估。</w:t>
      </w:r>
      <w:r>
        <w:rPr>
          <w:color w:val="auto"/>
        </w:rPr>
        <w:t>灾情稳定后，</w:t>
      </w:r>
      <w:r>
        <w:rPr>
          <w:rFonts w:hint="eastAsia"/>
          <w:color w:val="auto"/>
          <w:lang w:eastAsia="zh-CN"/>
        </w:rPr>
        <w:t>镇</w:t>
      </w:r>
      <w:r>
        <w:rPr>
          <w:color w:val="auto"/>
        </w:rPr>
        <w:t>防灾减灾救灾委员会办公室组织有关成员单位开展灾害损失综合评估工作，及时将结果报送</w:t>
      </w:r>
      <w:r>
        <w:rPr>
          <w:rFonts w:hint="eastAsia"/>
          <w:color w:val="auto"/>
          <w:lang w:eastAsia="zh-CN"/>
        </w:rPr>
        <w:t>区</w:t>
      </w:r>
      <w:r>
        <w:rPr>
          <w:color w:val="auto"/>
        </w:rPr>
        <w:t>防灾减灾救灾委员会办公室。</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w:t>
      </w:r>
      <w:r>
        <w:rPr>
          <w:rFonts w:hint="eastAsia"/>
          <w:color w:val="auto"/>
          <w:szCs w:val="32"/>
          <w:lang w:val="en-US" w:eastAsia="zh-CN"/>
        </w:rPr>
        <w:t>11</w:t>
      </w:r>
      <w:r>
        <w:rPr>
          <w:color w:val="auto"/>
          <w:szCs w:val="32"/>
        </w:rPr>
        <w:t>）</w:t>
      </w:r>
      <w:r>
        <w:rPr>
          <w:rFonts w:hint="eastAsia"/>
          <w:color w:val="auto"/>
          <w:szCs w:val="32"/>
          <w:lang w:eastAsia="zh-CN"/>
        </w:rPr>
        <w:t>镇</w:t>
      </w:r>
      <w:r>
        <w:rPr>
          <w:color w:val="auto"/>
        </w:rPr>
        <w:t>防灾减灾救灾委员会其他成员单位按照职责分工做好有关工作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（1</w:t>
      </w:r>
      <w:r>
        <w:rPr>
          <w:rFonts w:hint="eastAsia"/>
          <w:color w:val="auto"/>
          <w:szCs w:val="32"/>
          <w:lang w:val="en-US" w:eastAsia="zh-CN"/>
        </w:rPr>
        <w:t>2</w:t>
      </w:r>
      <w:r>
        <w:rPr>
          <w:color w:val="auto"/>
          <w:szCs w:val="32"/>
        </w:rPr>
        <w:t>）</w:t>
      </w:r>
      <w:r>
        <w:rPr>
          <w:rFonts w:hint="eastAsia"/>
          <w:color w:val="auto"/>
          <w:szCs w:val="32"/>
          <w:lang w:eastAsia="zh-CN"/>
        </w:rPr>
        <w:t>镇</w:t>
      </w:r>
      <w:r>
        <w:rPr>
          <w:color w:val="auto"/>
          <w:szCs w:val="32"/>
        </w:rPr>
        <w:t>防灾减灾救灾委员会办公室</w:t>
      </w:r>
      <w:r>
        <w:rPr>
          <w:color w:val="auto"/>
        </w:rPr>
        <w:t>及时汇总灾害救助工作情况，</w:t>
      </w:r>
      <w:r>
        <w:rPr>
          <w:color w:val="auto"/>
          <w:szCs w:val="32"/>
        </w:rPr>
        <w:t>按程序向</w:t>
      </w:r>
      <w:r>
        <w:rPr>
          <w:rFonts w:hint="eastAsia"/>
          <w:color w:val="auto"/>
          <w:szCs w:val="32"/>
          <w:lang w:eastAsia="zh-CN"/>
        </w:rPr>
        <w:t>镇党委政府</w:t>
      </w:r>
      <w:r>
        <w:rPr>
          <w:color w:val="auto"/>
          <w:szCs w:val="32"/>
        </w:rPr>
        <w:t>及</w:t>
      </w:r>
      <w:r>
        <w:rPr>
          <w:rFonts w:hint="eastAsia"/>
          <w:color w:val="auto"/>
          <w:szCs w:val="32"/>
          <w:lang w:eastAsia="zh-CN"/>
        </w:rPr>
        <w:t>区</w:t>
      </w:r>
      <w:r>
        <w:rPr>
          <w:color w:val="auto"/>
          <w:szCs w:val="32"/>
        </w:rPr>
        <w:t>防灾减灾救灾委员会办公室报告。</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5.3　三级响应</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5.3.1　启动条件</w:t>
      </w:r>
    </w:p>
    <w:p>
      <w:pPr>
        <w:pageBreakBefore w:val="0"/>
        <w:widowControl/>
        <w:kinsoku/>
        <w:wordWrap/>
        <w:overflowPunct/>
        <w:topLinePunct w:val="0"/>
        <w:autoSpaceDN/>
        <w:bidi w:val="0"/>
        <w:snapToGrid w:val="0"/>
        <w:spacing w:line="594" w:lineRule="exact"/>
        <w:ind w:firstLine="640" w:firstLineChars="200"/>
        <w:textAlignment w:val="auto"/>
        <w:rPr>
          <w:rFonts w:hint="eastAsia" w:eastAsia="方正仿宋_GBK"/>
          <w:color w:val="auto"/>
          <w:szCs w:val="32"/>
          <w:lang w:eastAsia="zh-CN"/>
        </w:rPr>
      </w:pPr>
      <w:r>
        <w:rPr>
          <w:color w:val="auto"/>
          <w:szCs w:val="32"/>
        </w:rPr>
        <w:t>发生自然灾害，</w:t>
      </w:r>
      <w:r>
        <w:rPr>
          <w:color w:val="auto"/>
        </w:rPr>
        <w:t>一次灾害过程</w:t>
      </w:r>
      <w:r>
        <w:rPr>
          <w:rFonts w:hint="eastAsia"/>
          <w:color w:val="auto"/>
          <w:lang w:eastAsia="zh-CN"/>
        </w:rPr>
        <w:t>出现</w:t>
      </w:r>
      <w:r>
        <w:rPr>
          <w:color w:val="auto"/>
        </w:rPr>
        <w:t>或经会商研判可能</w:t>
      </w:r>
      <w:r>
        <w:rPr>
          <w:rFonts w:hint="eastAsia"/>
          <w:color w:val="auto"/>
          <w:lang w:eastAsia="zh-CN"/>
        </w:rPr>
        <w:t>达到下列</w:t>
      </w:r>
      <w:r>
        <w:rPr>
          <w:rFonts w:hint="eastAsia"/>
          <w:color w:val="auto"/>
        </w:rPr>
        <w:t>区级自然灾害救助应急响应</w:t>
      </w:r>
      <w:r>
        <w:rPr>
          <w:rFonts w:hint="eastAsia"/>
          <w:color w:val="auto"/>
          <w:lang w:eastAsia="zh-CN"/>
        </w:rPr>
        <w:t>三级标准之一的</w:t>
      </w:r>
      <w:r>
        <w:rPr>
          <w:rFonts w:hint="eastAsia" w:hAnsi="宋体" w:cs="宋体"/>
          <w:color w:val="auto"/>
          <w:lang w:eastAsia="zh-CN"/>
        </w:rPr>
        <w:t>，按区防灾减灾救灾委员会要求启动三级响应。</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（1）死亡和失踪3人以上、10人以下；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（2）紧急转移安置和需紧急生活救助2000人以上、5000人以下；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（3）倒塌和严重损坏房屋500间或150户以上、1000间或300户以下；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（4）干旱灾害造成缺粮或缺水等生活困难，</w:t>
      </w:r>
      <w:r>
        <w:rPr>
          <w:color w:val="auto"/>
        </w:rPr>
        <w:t>需救助人数达</w:t>
      </w:r>
      <w:r>
        <w:rPr>
          <w:color w:val="auto"/>
          <w:szCs w:val="32"/>
        </w:rPr>
        <w:t>3万人以上、8万人以下。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（5）</w:t>
      </w:r>
      <w:r>
        <w:rPr>
          <w:rFonts w:hint="eastAsia"/>
          <w:color w:val="auto"/>
          <w:lang w:eastAsia="zh-CN"/>
        </w:rPr>
        <w:t>镇</w:t>
      </w:r>
      <w:r>
        <w:rPr>
          <w:color w:val="auto"/>
          <w:spacing w:val="1"/>
        </w:rPr>
        <w:t>防灾减灾救灾委员会研判认为需启动</w:t>
      </w:r>
      <w:r>
        <w:rPr>
          <w:rFonts w:hint="eastAsia"/>
          <w:color w:val="auto"/>
          <w:spacing w:val="1"/>
          <w:lang w:eastAsia="zh-CN"/>
        </w:rPr>
        <w:t>第三</w:t>
      </w:r>
      <w:r>
        <w:rPr>
          <w:color w:val="auto"/>
          <w:spacing w:val="1"/>
        </w:rPr>
        <w:t>级响应的其他</w:t>
      </w:r>
      <w:r>
        <w:rPr>
          <w:color w:val="auto"/>
        </w:rPr>
        <w:t>情况</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5.3.2　启动程序</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自然灾害发生后，经分析评估灾情达到三级响应启动条件，由</w:t>
      </w:r>
      <w:r>
        <w:rPr>
          <w:rFonts w:hint="eastAsia"/>
          <w:color w:val="auto"/>
          <w:lang w:eastAsia="zh-CN"/>
        </w:rPr>
        <w:t>镇</w:t>
      </w:r>
      <w:r>
        <w:rPr>
          <w:color w:val="auto"/>
        </w:rPr>
        <w:t>防灾减灾救灾委员会办公室主任决定启动</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5.3.3　响应措施</w:t>
      </w:r>
    </w:p>
    <w:p>
      <w:pPr>
        <w:pageBreakBefore w:val="0"/>
        <w:widowControl/>
        <w:kinsoku/>
        <w:wordWrap/>
        <w:overflowPunct/>
        <w:topLinePunct w:val="0"/>
        <w:autoSpaceDN/>
        <w:bidi w:val="0"/>
        <w:snapToGrid w:val="0"/>
        <w:spacing w:line="594" w:lineRule="exact"/>
        <w:ind w:left="0" w:leftChars="0" w:firstLine="640" w:firstLineChars="200"/>
        <w:textAlignment w:val="auto"/>
        <w:rPr>
          <w:color w:val="auto"/>
        </w:rPr>
      </w:pPr>
      <w:r>
        <w:rPr>
          <w:color w:val="auto"/>
        </w:rPr>
        <w:t>（1）</w:t>
      </w:r>
      <w:r>
        <w:rPr>
          <w:rFonts w:hint="eastAsia"/>
          <w:color w:val="auto"/>
          <w:lang w:eastAsia="zh-CN"/>
        </w:rPr>
        <w:t>镇</w:t>
      </w:r>
      <w:r>
        <w:rPr>
          <w:color w:val="auto"/>
          <w:spacing w:val="-3"/>
        </w:rPr>
        <w:t>防灾减灾救灾委员会办公室组织有关成员单位及受灾</w:t>
      </w:r>
      <w:r>
        <w:rPr>
          <w:rFonts w:hint="eastAsia"/>
          <w:color w:val="auto"/>
          <w:lang w:eastAsia="zh-CN"/>
        </w:rPr>
        <w:t>村</w:t>
      </w:r>
      <w:r>
        <w:rPr>
          <w:color w:val="auto"/>
        </w:rPr>
        <w:t>（</w:t>
      </w:r>
      <w:r>
        <w:rPr>
          <w:rFonts w:hint="eastAsia"/>
          <w:color w:val="auto"/>
          <w:lang w:eastAsia="zh-CN"/>
        </w:rPr>
        <w:t>社区</w:t>
      </w:r>
      <w:r>
        <w:rPr>
          <w:color w:val="auto"/>
        </w:rPr>
        <w:t>）分析灾情形势，研究落实救灾措施，通报有关成员单位。</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（2）</w:t>
      </w:r>
      <w:r>
        <w:rPr>
          <w:rFonts w:hint="eastAsia"/>
          <w:color w:val="auto"/>
          <w:lang w:eastAsia="zh-CN"/>
        </w:rPr>
        <w:t>镇</w:t>
      </w:r>
      <w:r>
        <w:rPr>
          <w:color w:val="auto"/>
          <w:spacing w:val="-3"/>
        </w:rPr>
        <w:t>防灾减灾救灾委员会办公室派出工作组赴受灾</w:t>
      </w:r>
      <w:r>
        <w:rPr>
          <w:rFonts w:hint="eastAsia"/>
          <w:color w:val="auto"/>
          <w:spacing w:val="-3"/>
        </w:rPr>
        <w:t>村（社区）</w:t>
      </w:r>
      <w:r>
        <w:rPr>
          <w:color w:val="auto"/>
          <w:spacing w:val="-3"/>
        </w:rPr>
        <w:t>指</w:t>
      </w:r>
      <w:r>
        <w:rPr>
          <w:color w:val="auto"/>
        </w:rPr>
        <w:t>导救助工作，核查灾情，慰问受灾群众。</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（3）</w:t>
      </w:r>
      <w:r>
        <w:rPr>
          <w:rFonts w:hint="eastAsia"/>
          <w:color w:val="auto"/>
          <w:lang w:eastAsia="zh-CN"/>
        </w:rPr>
        <w:t>镇</w:t>
      </w:r>
      <w:r>
        <w:rPr>
          <w:color w:val="auto"/>
          <w:spacing w:val="-3"/>
        </w:rPr>
        <w:t>防灾减灾救灾委员会办公室及时掌握灾情和救灾工作</w:t>
      </w:r>
      <w:r>
        <w:rPr>
          <w:color w:val="auto"/>
        </w:rPr>
        <w:t>进展情况，按照有关规定动态发布相关信息。</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（4）</w:t>
      </w:r>
      <w:r>
        <w:rPr>
          <w:rFonts w:hint="eastAsia"/>
          <w:color w:val="auto"/>
          <w:lang w:eastAsia="zh-CN"/>
        </w:rPr>
        <w:t>镇经济发展办</w:t>
      </w:r>
      <w:r>
        <w:rPr>
          <w:color w:val="auto"/>
          <w:szCs w:val="32"/>
        </w:rPr>
        <w:t>会同</w:t>
      </w:r>
      <w:r>
        <w:rPr>
          <w:rFonts w:hint="eastAsia"/>
          <w:color w:val="auto"/>
          <w:szCs w:val="32"/>
          <w:lang w:eastAsia="zh-CN"/>
        </w:rPr>
        <w:t>平安法治办</w:t>
      </w:r>
      <w:r>
        <w:rPr>
          <w:color w:val="auto"/>
          <w:szCs w:val="32"/>
        </w:rPr>
        <w:t>统筹安排自然灾害救助资金</w:t>
      </w:r>
      <w:r>
        <w:rPr>
          <w:color w:val="auto"/>
        </w:rPr>
        <w:t>，落实自然灾害救助应急措施，监督救灾款物使用</w:t>
      </w:r>
      <w:r>
        <w:rPr>
          <w:rFonts w:hint="eastAsia"/>
          <w:color w:val="auto"/>
          <w:lang w:eastAsia="zh-CN"/>
        </w:rPr>
        <w:t>，</w:t>
      </w:r>
      <w:r>
        <w:rPr>
          <w:color w:val="auto"/>
        </w:rPr>
        <w:t>做好灾害救助工作。</w:t>
      </w:r>
      <w:r>
        <w:rPr>
          <w:rFonts w:hint="eastAsia"/>
          <w:color w:val="auto"/>
          <w:lang w:eastAsia="zh-CN"/>
        </w:rPr>
        <w:t>综合行政执法大队、村镇建设服务中心、双石红炉永荣派出所联勤组负责</w:t>
      </w:r>
      <w:r>
        <w:rPr>
          <w:color w:val="auto"/>
        </w:rPr>
        <w:t>协调指导重要通道</w:t>
      </w:r>
      <w:r>
        <w:rPr>
          <w:rFonts w:hint="eastAsia"/>
          <w:color w:val="auto"/>
          <w:lang w:eastAsia="zh-CN"/>
        </w:rPr>
        <w:t>修复</w:t>
      </w:r>
      <w:r>
        <w:rPr>
          <w:color w:val="auto"/>
        </w:rPr>
        <w:t>，保障各类救灾物资运输畅通和人员及时转运。</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（5）</w:t>
      </w:r>
      <w:r>
        <w:rPr>
          <w:rFonts w:hint="eastAsia"/>
          <w:color w:val="auto"/>
          <w:szCs w:val="32"/>
        </w:rPr>
        <w:t>镇平安法治办</w:t>
      </w:r>
      <w:r>
        <w:rPr>
          <w:color w:val="auto"/>
          <w:szCs w:val="32"/>
        </w:rPr>
        <w:t>统筹调度</w:t>
      </w:r>
      <w:r>
        <w:rPr>
          <w:rFonts w:hint="eastAsia"/>
          <w:color w:val="auto"/>
          <w:szCs w:val="32"/>
          <w:lang w:eastAsia="zh-CN"/>
        </w:rPr>
        <w:t>镇</w:t>
      </w:r>
      <w:r>
        <w:rPr>
          <w:color w:val="auto"/>
          <w:szCs w:val="32"/>
        </w:rPr>
        <w:t>内各类救援队伍开展救灾，帮助受灾</w:t>
      </w:r>
      <w:r>
        <w:rPr>
          <w:rFonts w:hint="eastAsia"/>
          <w:color w:val="auto"/>
          <w:szCs w:val="32"/>
          <w:lang w:eastAsia="zh-CN"/>
        </w:rPr>
        <w:t>村（社区）</w:t>
      </w:r>
      <w:r>
        <w:rPr>
          <w:color w:val="auto"/>
          <w:szCs w:val="32"/>
        </w:rPr>
        <w:t>转移受灾群众、运送发放救灾物资等</w:t>
      </w:r>
      <w:r>
        <w:rPr>
          <w:color w:val="auto"/>
        </w:rPr>
        <w:t>。</w:t>
      </w:r>
      <w:r>
        <w:rPr>
          <w:rFonts w:hint="eastAsia"/>
          <w:color w:val="auto"/>
          <w:szCs w:val="32"/>
          <w:lang w:eastAsia="zh-CN"/>
        </w:rPr>
        <w:t>镇武装部</w:t>
      </w:r>
      <w:r>
        <w:rPr>
          <w:color w:val="auto"/>
          <w:szCs w:val="32"/>
        </w:rPr>
        <w:t>组织协调武警部队、民兵参与救灾，协助受灾</w:t>
      </w:r>
      <w:r>
        <w:rPr>
          <w:rFonts w:hint="eastAsia"/>
          <w:color w:val="auto"/>
          <w:szCs w:val="32"/>
        </w:rPr>
        <w:t>村（社区）</w:t>
      </w:r>
      <w:r>
        <w:rPr>
          <w:color w:val="auto"/>
        </w:rPr>
        <w:t>做好灾害救助工作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（6）</w:t>
      </w:r>
      <w:r>
        <w:rPr>
          <w:rFonts w:hint="eastAsia"/>
          <w:color w:val="auto"/>
        </w:rPr>
        <w:t>民生服务办公室、红炉卫生院</w:t>
      </w:r>
      <w:r>
        <w:rPr>
          <w:color w:val="auto"/>
        </w:rPr>
        <w:t>指导受灾</w:t>
      </w:r>
      <w:r>
        <w:rPr>
          <w:rFonts w:hint="eastAsia"/>
          <w:color w:val="auto"/>
          <w:szCs w:val="32"/>
        </w:rPr>
        <w:t>村（社区）</w:t>
      </w:r>
      <w:r>
        <w:rPr>
          <w:color w:val="auto"/>
        </w:rPr>
        <w:t>做好医疗救治、灾后防疫和心理援助工作。</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（7）</w:t>
      </w:r>
      <w:r>
        <w:rPr>
          <w:rFonts w:hint="eastAsia"/>
          <w:color w:val="auto"/>
          <w:szCs w:val="32"/>
        </w:rPr>
        <w:t>党的建设办公室</w:t>
      </w:r>
      <w:r>
        <w:rPr>
          <w:color w:val="auto"/>
        </w:rPr>
        <w:t>会同</w:t>
      </w:r>
      <w:r>
        <w:rPr>
          <w:rFonts w:hint="eastAsia"/>
          <w:color w:val="auto"/>
          <w:lang w:eastAsia="zh-CN"/>
        </w:rPr>
        <w:t>镇</w:t>
      </w:r>
      <w:r>
        <w:rPr>
          <w:color w:val="auto"/>
          <w:spacing w:val="-3"/>
        </w:rPr>
        <w:t>级有关部门协调指导志愿服务</w:t>
      </w:r>
      <w:r>
        <w:rPr>
          <w:color w:val="auto"/>
        </w:rPr>
        <w:t>力量参与灾害救助工作。</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（8）</w:t>
      </w:r>
      <w:r>
        <w:rPr>
          <w:color w:val="auto"/>
          <w:spacing w:val="-3"/>
        </w:rPr>
        <w:t>灾情稳定后，</w:t>
      </w:r>
      <w:r>
        <w:rPr>
          <w:rFonts w:hint="eastAsia"/>
          <w:color w:val="auto"/>
          <w:spacing w:val="-3"/>
          <w:lang w:eastAsia="zh-CN"/>
        </w:rPr>
        <w:t>镇</w:t>
      </w:r>
      <w:r>
        <w:rPr>
          <w:color w:val="auto"/>
          <w:spacing w:val="-3"/>
        </w:rPr>
        <w:t>防灾减灾救灾委员会办公室指导受灾</w:t>
      </w:r>
      <w:r>
        <w:rPr>
          <w:rFonts w:hint="eastAsia"/>
          <w:color w:val="auto"/>
          <w:spacing w:val="-3"/>
        </w:rPr>
        <w:t>村（社区）</w:t>
      </w:r>
      <w:r>
        <w:rPr>
          <w:color w:val="auto"/>
        </w:rPr>
        <w:t>评估、核定灾害损失情况。</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（9）</w:t>
      </w:r>
      <w:r>
        <w:rPr>
          <w:rFonts w:hint="eastAsia"/>
          <w:color w:val="auto"/>
          <w:lang w:eastAsia="zh-CN"/>
        </w:rPr>
        <w:t>镇</w:t>
      </w:r>
      <w:r>
        <w:rPr>
          <w:color w:val="auto"/>
          <w:spacing w:val="1"/>
        </w:rPr>
        <w:t>防灾减灾救灾委员会其他成员单位按照职责分工做好</w:t>
      </w:r>
      <w:r>
        <w:rPr>
          <w:color w:val="auto"/>
        </w:rPr>
        <w:t>有关工作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5.4　四级响应</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5.4.1　启动条件</w:t>
      </w:r>
    </w:p>
    <w:p>
      <w:pPr>
        <w:pageBreakBefore w:val="0"/>
        <w:widowControl/>
        <w:kinsoku/>
        <w:wordWrap/>
        <w:overflowPunct/>
        <w:topLinePunct w:val="0"/>
        <w:autoSpaceDN/>
        <w:bidi w:val="0"/>
        <w:snapToGrid w:val="0"/>
        <w:spacing w:line="594" w:lineRule="exact"/>
        <w:ind w:firstLine="640" w:firstLineChars="200"/>
        <w:textAlignment w:val="auto"/>
        <w:rPr>
          <w:rFonts w:hint="eastAsia" w:eastAsia="方正仿宋_GBK"/>
          <w:color w:val="auto"/>
          <w:szCs w:val="32"/>
          <w:lang w:eastAsia="zh-CN"/>
        </w:rPr>
      </w:pPr>
      <w:r>
        <w:rPr>
          <w:color w:val="auto"/>
          <w:szCs w:val="32"/>
        </w:rPr>
        <w:t>发生自然灾害，</w:t>
      </w:r>
      <w:r>
        <w:rPr>
          <w:color w:val="auto"/>
        </w:rPr>
        <w:t>一次灾害过程</w:t>
      </w:r>
      <w:r>
        <w:rPr>
          <w:rFonts w:hint="eastAsia"/>
          <w:color w:val="auto"/>
          <w:lang w:eastAsia="zh-CN"/>
        </w:rPr>
        <w:t>出现</w:t>
      </w:r>
      <w:r>
        <w:rPr>
          <w:color w:val="auto"/>
        </w:rPr>
        <w:t>或经会商研判可能</w:t>
      </w:r>
      <w:r>
        <w:rPr>
          <w:rFonts w:hint="eastAsia"/>
          <w:color w:val="auto"/>
          <w:lang w:eastAsia="zh-CN"/>
        </w:rPr>
        <w:t>达到下列</w:t>
      </w:r>
      <w:r>
        <w:rPr>
          <w:rFonts w:hint="eastAsia"/>
          <w:color w:val="auto"/>
        </w:rPr>
        <w:t>区级自然灾害救助应急响应</w:t>
      </w:r>
      <w:r>
        <w:rPr>
          <w:rFonts w:hint="eastAsia"/>
          <w:color w:val="auto"/>
          <w:lang w:eastAsia="zh-CN"/>
        </w:rPr>
        <w:t>四级标准之一的</w:t>
      </w:r>
      <w:r>
        <w:rPr>
          <w:rFonts w:hint="eastAsia" w:hAnsi="宋体" w:cs="宋体"/>
          <w:color w:val="auto"/>
          <w:lang w:eastAsia="zh-CN"/>
        </w:rPr>
        <w:t>，按区防灾减灾救灾委员会要求启动四级响应。</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（1）死亡和失踪1人以上、3人以下；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（2）紧急转移安置和需紧急生活救助500人以上、2000人以下；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（3）倒塌和严重损坏房屋100间或30户以上、500间或150户以下；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（4）干旱灾害造成缺粮或缺水等生活困难，</w:t>
      </w:r>
      <w:r>
        <w:rPr>
          <w:color w:val="auto"/>
        </w:rPr>
        <w:t>需救助人数达</w:t>
      </w:r>
      <w:r>
        <w:rPr>
          <w:color w:val="auto"/>
          <w:szCs w:val="32"/>
        </w:rPr>
        <w:t>1万人以上、3万人以下。</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（5）</w:t>
      </w:r>
      <w:r>
        <w:rPr>
          <w:rFonts w:hint="eastAsia"/>
          <w:color w:val="auto"/>
          <w:lang w:eastAsia="zh-CN"/>
        </w:rPr>
        <w:t>镇</w:t>
      </w:r>
      <w:r>
        <w:rPr>
          <w:color w:val="auto"/>
          <w:spacing w:val="1"/>
        </w:rPr>
        <w:t>防灾减灾救灾委员会研判认为需启动四级响应的其他</w:t>
      </w:r>
      <w:r>
        <w:rPr>
          <w:color w:val="auto"/>
        </w:rPr>
        <w:t>情况</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5.4.2　启动程序</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自然灾害发生后，经分析评估灾情达到四级响应启动条件，由</w:t>
      </w:r>
      <w:r>
        <w:rPr>
          <w:rFonts w:hint="eastAsia"/>
          <w:color w:val="auto"/>
          <w:lang w:eastAsia="zh-CN"/>
        </w:rPr>
        <w:t>镇</w:t>
      </w:r>
      <w:r>
        <w:rPr>
          <w:color w:val="auto"/>
        </w:rPr>
        <w:t>防灾减灾救灾委员会办公室主任决定启动，并向</w:t>
      </w:r>
      <w:r>
        <w:rPr>
          <w:rFonts w:hint="eastAsia"/>
          <w:color w:val="auto"/>
          <w:lang w:eastAsia="zh-CN"/>
        </w:rPr>
        <w:t>镇</w:t>
      </w:r>
      <w:r>
        <w:rPr>
          <w:color w:val="auto"/>
        </w:rPr>
        <w:t>防灾减灾救灾委员会办公室主任报告</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5.4.3　响应措施</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（1）</w:t>
      </w:r>
      <w:r>
        <w:rPr>
          <w:rFonts w:hint="eastAsia"/>
          <w:color w:val="auto"/>
          <w:lang w:eastAsia="zh-CN"/>
        </w:rPr>
        <w:t>镇</w:t>
      </w:r>
      <w:r>
        <w:rPr>
          <w:color w:val="auto"/>
          <w:spacing w:val="-3"/>
        </w:rPr>
        <w:t>防灾减灾救灾委员会办公室组织有关成员单位及受灾</w:t>
      </w:r>
      <w:r>
        <w:rPr>
          <w:rFonts w:hint="eastAsia"/>
          <w:color w:val="auto"/>
          <w:szCs w:val="32"/>
        </w:rPr>
        <w:t>村（社区）</w:t>
      </w:r>
      <w:r>
        <w:rPr>
          <w:color w:val="auto"/>
        </w:rPr>
        <w:t>分析灾情形势，研究落实救灾措施，通报有关成员单位。</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（2）</w:t>
      </w:r>
      <w:r>
        <w:rPr>
          <w:rFonts w:hint="eastAsia"/>
          <w:color w:val="auto"/>
          <w:lang w:eastAsia="zh-CN"/>
        </w:rPr>
        <w:t>镇</w:t>
      </w:r>
      <w:r>
        <w:rPr>
          <w:color w:val="auto"/>
          <w:spacing w:val="-3"/>
        </w:rPr>
        <w:t>防灾减灾救灾委员会办公室派出工作组赴受灾</w:t>
      </w:r>
      <w:r>
        <w:rPr>
          <w:rFonts w:hint="eastAsia"/>
          <w:color w:val="auto"/>
          <w:szCs w:val="32"/>
        </w:rPr>
        <w:t>村（社区）</w:t>
      </w:r>
      <w:r>
        <w:rPr>
          <w:color w:val="auto"/>
          <w:spacing w:val="-3"/>
        </w:rPr>
        <w:t>指</w:t>
      </w:r>
      <w:r>
        <w:rPr>
          <w:color w:val="auto"/>
        </w:rPr>
        <w:t>导灾害救助工作，核查灾情，慰问受灾群众。</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（3）</w:t>
      </w:r>
      <w:r>
        <w:rPr>
          <w:rFonts w:hint="eastAsia"/>
          <w:color w:val="auto"/>
          <w:lang w:eastAsia="zh-CN"/>
        </w:rPr>
        <w:t>镇</w:t>
      </w:r>
      <w:r>
        <w:rPr>
          <w:color w:val="auto"/>
          <w:spacing w:val="-3"/>
        </w:rPr>
        <w:t>防灾减灾救灾委员会办公室及时掌握灾情和救灾工作</w:t>
      </w:r>
      <w:r>
        <w:rPr>
          <w:color w:val="auto"/>
        </w:rPr>
        <w:t>进展情况，按照有关规定动态发布相关信息。</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（4）</w:t>
      </w:r>
      <w:r>
        <w:rPr>
          <w:rFonts w:hint="eastAsia"/>
          <w:color w:val="auto"/>
          <w:lang w:eastAsia="zh-CN"/>
        </w:rPr>
        <w:t>镇经济发展办</w:t>
      </w:r>
      <w:r>
        <w:rPr>
          <w:color w:val="auto"/>
          <w:szCs w:val="32"/>
        </w:rPr>
        <w:t>会同</w:t>
      </w:r>
      <w:r>
        <w:rPr>
          <w:rFonts w:hint="eastAsia"/>
          <w:color w:val="auto"/>
          <w:szCs w:val="32"/>
          <w:lang w:eastAsia="zh-CN"/>
        </w:rPr>
        <w:t>平安法治办</w:t>
      </w:r>
      <w:r>
        <w:rPr>
          <w:color w:val="auto"/>
          <w:szCs w:val="32"/>
        </w:rPr>
        <w:t>统筹安排自然灾害救助资金</w:t>
      </w:r>
      <w:r>
        <w:rPr>
          <w:color w:val="auto"/>
        </w:rPr>
        <w:t>，紧急调拨生活类救灾物资，指导落实自然灾害救助应急措施，监督救灾款物使用</w:t>
      </w:r>
      <w:r>
        <w:rPr>
          <w:rFonts w:hint="eastAsia"/>
          <w:color w:val="auto"/>
          <w:lang w:eastAsia="zh-CN"/>
        </w:rPr>
        <w:t>等</w:t>
      </w:r>
      <w:r>
        <w:rPr>
          <w:color w:val="auto"/>
        </w:rPr>
        <w:t>。</w:t>
      </w:r>
      <w:r>
        <w:rPr>
          <w:rFonts w:hint="eastAsia"/>
          <w:color w:val="auto"/>
          <w:lang w:eastAsia="zh-CN"/>
        </w:rPr>
        <w:t>综合行政执法大队、村镇建设服务中心、双石红炉永荣派出所联勤组</w:t>
      </w:r>
      <w:r>
        <w:rPr>
          <w:color w:val="auto"/>
        </w:rPr>
        <w:t>协调指导重要通道</w:t>
      </w:r>
      <w:r>
        <w:rPr>
          <w:rFonts w:hint="eastAsia"/>
          <w:color w:val="auto"/>
          <w:lang w:eastAsia="zh-CN"/>
        </w:rPr>
        <w:t>修复</w:t>
      </w:r>
      <w:r>
        <w:rPr>
          <w:color w:val="auto"/>
        </w:rPr>
        <w:t>，保障各类救灾物资运输畅通和人员及时转运。</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（5）</w:t>
      </w:r>
      <w:r>
        <w:rPr>
          <w:rFonts w:hint="eastAsia"/>
          <w:color w:val="auto"/>
          <w:szCs w:val="32"/>
        </w:rPr>
        <w:t>镇平安法治办</w:t>
      </w:r>
      <w:r>
        <w:rPr>
          <w:color w:val="auto"/>
          <w:szCs w:val="32"/>
        </w:rPr>
        <w:t>统筹调度</w:t>
      </w:r>
      <w:r>
        <w:rPr>
          <w:rFonts w:hint="eastAsia"/>
          <w:color w:val="auto"/>
          <w:szCs w:val="32"/>
          <w:lang w:eastAsia="zh-CN"/>
        </w:rPr>
        <w:t>镇</w:t>
      </w:r>
      <w:r>
        <w:rPr>
          <w:color w:val="auto"/>
          <w:szCs w:val="32"/>
        </w:rPr>
        <w:t>内各类救援队伍开展救灾，帮助受灾</w:t>
      </w:r>
      <w:r>
        <w:rPr>
          <w:rFonts w:hint="eastAsia"/>
          <w:color w:val="auto"/>
          <w:szCs w:val="32"/>
          <w:lang w:eastAsia="zh-CN"/>
        </w:rPr>
        <w:t>村（社区）</w:t>
      </w:r>
      <w:r>
        <w:rPr>
          <w:color w:val="auto"/>
          <w:szCs w:val="32"/>
        </w:rPr>
        <w:t>转移受灾群众、运送发放救灾物资等</w:t>
      </w:r>
      <w:r>
        <w:rPr>
          <w:color w:val="auto"/>
        </w:rPr>
        <w:t>。</w:t>
      </w:r>
      <w:r>
        <w:rPr>
          <w:rFonts w:hint="eastAsia"/>
          <w:color w:val="auto"/>
          <w:szCs w:val="32"/>
          <w:lang w:eastAsia="zh-CN"/>
        </w:rPr>
        <w:t>镇武装部</w:t>
      </w:r>
      <w:r>
        <w:rPr>
          <w:color w:val="auto"/>
          <w:szCs w:val="32"/>
        </w:rPr>
        <w:t>组织协调武警部队、民兵参与救灾，协助受灾</w:t>
      </w:r>
      <w:r>
        <w:rPr>
          <w:rFonts w:hint="eastAsia"/>
          <w:color w:val="auto"/>
          <w:szCs w:val="32"/>
        </w:rPr>
        <w:t>村（社区）</w:t>
      </w:r>
      <w:r>
        <w:rPr>
          <w:color w:val="auto"/>
        </w:rPr>
        <w:t>做好灾害救助工作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（6</w:t>
      </w:r>
      <w:r>
        <w:rPr>
          <w:rFonts w:hint="eastAsia"/>
          <w:color w:val="auto"/>
        </w:rPr>
        <w:t>民生服务办公室、红炉卫生院</w:t>
      </w:r>
      <w:r>
        <w:rPr>
          <w:color w:val="auto"/>
        </w:rPr>
        <w:t>指导受灾</w:t>
      </w:r>
      <w:r>
        <w:rPr>
          <w:rFonts w:hint="eastAsia"/>
          <w:color w:val="auto"/>
          <w:szCs w:val="32"/>
        </w:rPr>
        <w:t>村（社区）</w:t>
      </w:r>
      <w:r>
        <w:rPr>
          <w:color w:val="auto"/>
        </w:rPr>
        <w:t>做好医疗救治、灾后防疫和心理援助工作。</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（7）</w:t>
      </w:r>
      <w:r>
        <w:rPr>
          <w:rFonts w:hint="eastAsia"/>
          <w:color w:val="auto"/>
          <w:szCs w:val="32"/>
        </w:rPr>
        <w:t>党的建设办公室</w:t>
      </w:r>
      <w:r>
        <w:rPr>
          <w:color w:val="auto"/>
        </w:rPr>
        <w:t>会同</w:t>
      </w:r>
      <w:r>
        <w:rPr>
          <w:rFonts w:hint="eastAsia"/>
          <w:color w:val="auto"/>
          <w:lang w:eastAsia="zh-CN"/>
        </w:rPr>
        <w:t>镇</w:t>
      </w:r>
      <w:r>
        <w:rPr>
          <w:color w:val="auto"/>
          <w:spacing w:val="-3"/>
        </w:rPr>
        <w:t>级有关部门协调指导志愿服务</w:t>
      </w:r>
      <w:r>
        <w:rPr>
          <w:color w:val="auto"/>
        </w:rPr>
        <w:t>力量参与灾害救助工作。</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（8）</w:t>
      </w:r>
      <w:r>
        <w:rPr>
          <w:color w:val="auto"/>
          <w:spacing w:val="-3"/>
        </w:rPr>
        <w:t>灾情稳定后，</w:t>
      </w:r>
      <w:r>
        <w:rPr>
          <w:rFonts w:hint="eastAsia"/>
          <w:color w:val="auto"/>
          <w:spacing w:val="-3"/>
          <w:lang w:eastAsia="zh-CN"/>
        </w:rPr>
        <w:t>镇</w:t>
      </w:r>
      <w:r>
        <w:rPr>
          <w:color w:val="auto"/>
          <w:spacing w:val="-3"/>
        </w:rPr>
        <w:t>防灾减灾救灾委员会办公室指导受灾</w:t>
      </w:r>
      <w:r>
        <w:rPr>
          <w:rFonts w:hint="eastAsia"/>
          <w:color w:val="auto"/>
          <w:spacing w:val="-3"/>
        </w:rPr>
        <w:t>村（社区）</w:t>
      </w:r>
      <w:r>
        <w:rPr>
          <w:color w:val="auto"/>
        </w:rPr>
        <w:t>评估、核定灾害损失情况。</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（9）</w:t>
      </w:r>
      <w:r>
        <w:rPr>
          <w:rFonts w:hint="eastAsia"/>
          <w:color w:val="auto"/>
          <w:lang w:eastAsia="zh-CN"/>
        </w:rPr>
        <w:t>镇</w:t>
      </w:r>
      <w:r>
        <w:rPr>
          <w:color w:val="auto"/>
          <w:spacing w:val="1"/>
        </w:rPr>
        <w:t>防灾减灾救灾委员会其他成员单位按照职责分工做好</w:t>
      </w:r>
      <w:r>
        <w:rPr>
          <w:color w:val="auto"/>
        </w:rPr>
        <w:t>有关工作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5.5　响应调整</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当灾害对经济社会造成重大影响时，</w:t>
      </w:r>
      <w:r>
        <w:rPr>
          <w:color w:val="auto"/>
        </w:rPr>
        <w:t>应急响应启动条件可适度降低</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5.6　响应联动</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对已启动防汛抗旱、地震、地质灾害、森林火灾应急响应的，</w:t>
      </w:r>
      <w:r>
        <w:rPr>
          <w:rFonts w:hint="eastAsia"/>
          <w:color w:val="auto"/>
          <w:lang w:eastAsia="zh-CN"/>
        </w:rPr>
        <w:t>镇</w:t>
      </w:r>
      <w:r>
        <w:rPr>
          <w:color w:val="auto"/>
        </w:rPr>
        <w:t>防灾减灾救灾委员会办公室要强化灾情态势会商，必要时按照本预案规定启动自然灾害救助应急响应。</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启动</w:t>
      </w:r>
      <w:r>
        <w:rPr>
          <w:rFonts w:hint="eastAsia"/>
          <w:color w:val="auto"/>
          <w:lang w:eastAsia="zh-CN"/>
        </w:rPr>
        <w:t>本级</w:t>
      </w:r>
      <w:r>
        <w:rPr>
          <w:color w:val="auto"/>
        </w:rPr>
        <w:t>自然灾害救助应急响应，</w:t>
      </w:r>
      <w:r>
        <w:rPr>
          <w:rFonts w:hint="eastAsia"/>
          <w:color w:val="auto"/>
          <w:lang w:eastAsia="zh-CN"/>
        </w:rPr>
        <w:t>要及时</w:t>
      </w:r>
      <w:r>
        <w:rPr>
          <w:color w:val="auto"/>
          <w:szCs w:val="32"/>
        </w:rPr>
        <w:t>报区</w:t>
      </w:r>
      <w:r>
        <w:rPr>
          <w:color w:val="auto"/>
        </w:rPr>
        <w:t>防灾减灾救灾委员会办公室</w:t>
      </w:r>
      <w:r>
        <w:rPr>
          <w:rFonts w:hint="eastAsia"/>
          <w:color w:val="auto"/>
          <w:lang w:eastAsia="zh-CN"/>
        </w:rPr>
        <w:t>。按要求</w:t>
      </w:r>
      <w:r>
        <w:rPr>
          <w:color w:val="auto"/>
          <w:szCs w:val="32"/>
        </w:rPr>
        <w:t>开展</w:t>
      </w:r>
      <w:r>
        <w:rPr>
          <w:rFonts w:hint="eastAsia"/>
          <w:color w:val="auto"/>
          <w:szCs w:val="32"/>
          <w:lang w:eastAsia="zh-CN"/>
        </w:rPr>
        <w:t>好</w:t>
      </w:r>
      <w:r>
        <w:rPr>
          <w:color w:val="auto"/>
          <w:szCs w:val="32"/>
        </w:rPr>
        <w:t>救灾救助，并加强会商研判，根据灾情发展变化及时作出调整。</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5.7　响应终止</w:t>
      </w:r>
    </w:p>
    <w:p>
      <w:pPr>
        <w:pageBreakBefore w:val="0"/>
        <w:widowControl/>
        <w:kinsoku/>
        <w:wordWrap/>
        <w:overflowPunct/>
        <w:topLinePunct w:val="0"/>
        <w:autoSpaceDN/>
        <w:bidi w:val="0"/>
        <w:snapToGrid w:val="0"/>
        <w:spacing w:line="594" w:lineRule="exact"/>
        <w:ind w:firstLine="640" w:firstLineChars="200"/>
        <w:textAlignment w:val="auto"/>
        <w:rPr>
          <w:rFonts w:eastAsia="方正黑体_GBK"/>
          <w:color w:val="auto"/>
          <w:szCs w:val="32"/>
        </w:rPr>
      </w:pPr>
      <w:r>
        <w:rPr>
          <w:color w:val="auto"/>
        </w:rPr>
        <w:t>自然灾害紧急救助结束后，</w:t>
      </w:r>
      <w:r>
        <w:rPr>
          <w:rFonts w:hint="eastAsia"/>
          <w:color w:val="auto"/>
          <w:lang w:eastAsia="zh-CN"/>
        </w:rPr>
        <w:t>镇</w:t>
      </w:r>
      <w:r>
        <w:rPr>
          <w:color w:val="auto"/>
        </w:rPr>
        <w:t>防灾减灾救灾委员会办公室研判并提出建议，按启动响应的相应权限终止响应</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rFonts w:eastAsia="方正楷体_GBK"/>
          <w:color w:val="auto"/>
          <w:szCs w:val="32"/>
        </w:rPr>
        <w:t>6　灾后救助</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6.1　过渡期生活救助</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6.1.1　</w:t>
      </w:r>
      <w:r>
        <w:rPr>
          <w:color w:val="auto"/>
        </w:rPr>
        <w:t>将因灾房屋倒塌或严重损坏需恢复重建暂无房可住、因次生灾害威胁在外安置无法返家、因灾损失严重缺少生活来源等人员，纳入过渡期生活救助范围</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6.1.2　</w:t>
      </w:r>
      <w:r>
        <w:rPr>
          <w:color w:val="auto"/>
        </w:rPr>
        <w:t>受灾</w:t>
      </w:r>
      <w:r>
        <w:rPr>
          <w:rFonts w:hint="eastAsia"/>
          <w:color w:val="auto"/>
          <w:szCs w:val="32"/>
        </w:rPr>
        <w:t>村（社区）</w:t>
      </w:r>
      <w:r>
        <w:rPr>
          <w:color w:val="auto"/>
        </w:rPr>
        <w:t>负责统计受灾群众过渡期生活救助需求情况，及时建立台账，统计生活救助物资等需求</w:t>
      </w:r>
      <w:r>
        <w:rPr>
          <w:rFonts w:hint="eastAsia"/>
          <w:color w:val="auto"/>
          <w:lang w:eastAsia="zh-CN"/>
        </w:rPr>
        <w:t>，及时报</w:t>
      </w:r>
      <w:r>
        <w:rPr>
          <w:rFonts w:hint="eastAsia"/>
          <w:color w:val="auto"/>
          <w:szCs w:val="32"/>
          <w:lang w:eastAsia="zh-CN"/>
        </w:rPr>
        <w:t>镇</w:t>
      </w:r>
      <w:r>
        <w:rPr>
          <w:color w:val="auto"/>
        </w:rPr>
        <w:t>防灾减灾救灾委员会办公室</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6.1.3　</w:t>
      </w:r>
      <w:r>
        <w:rPr>
          <w:rFonts w:hint="eastAsia"/>
          <w:color w:val="auto"/>
          <w:szCs w:val="32"/>
          <w:lang w:eastAsia="zh-CN"/>
        </w:rPr>
        <w:t>镇经济发展办</w:t>
      </w:r>
      <w:r>
        <w:rPr>
          <w:color w:val="auto"/>
          <w:szCs w:val="32"/>
        </w:rPr>
        <w:t>会同</w:t>
      </w:r>
      <w:r>
        <w:rPr>
          <w:rFonts w:hint="eastAsia"/>
          <w:color w:val="auto"/>
          <w:szCs w:val="32"/>
          <w:lang w:eastAsia="zh-CN"/>
        </w:rPr>
        <w:t>平安法治办</w:t>
      </w:r>
      <w:r>
        <w:rPr>
          <w:color w:val="auto"/>
          <w:szCs w:val="32"/>
        </w:rPr>
        <w:t>统筹安排自然灾害救助资金，做好过渡期生活救助</w:t>
      </w:r>
      <w:r>
        <w:rPr>
          <w:rFonts w:hint="eastAsia"/>
          <w:color w:val="auto"/>
          <w:szCs w:val="32"/>
          <w:lang w:eastAsia="zh-CN"/>
        </w:rPr>
        <w:t>、</w:t>
      </w:r>
      <w:r>
        <w:rPr>
          <w:color w:val="auto"/>
        </w:rPr>
        <w:t>过渡期生活救助的人员核定、资金发放等工作，督促做好受灾群众过渡期基本生活保障工作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6.1.4　</w:t>
      </w:r>
      <w:r>
        <w:rPr>
          <w:rFonts w:hint="eastAsia"/>
          <w:color w:val="auto"/>
          <w:szCs w:val="32"/>
          <w:lang w:eastAsia="zh-CN"/>
        </w:rPr>
        <w:t>镇</w:t>
      </w:r>
      <w:r>
        <w:rPr>
          <w:color w:val="auto"/>
        </w:rPr>
        <w:t>防灾减灾救灾委员会办公室加强对受灾</w:t>
      </w:r>
      <w:r>
        <w:rPr>
          <w:rFonts w:hint="eastAsia"/>
          <w:color w:val="auto"/>
          <w:szCs w:val="32"/>
        </w:rPr>
        <w:t>村（社区）</w:t>
      </w:r>
      <w:r>
        <w:rPr>
          <w:color w:val="auto"/>
        </w:rPr>
        <w:t>过渡期生活救助政策和措施落实情况的监督检查</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6.2　倒损住房恢复重建救助</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6.2.1　因灾倒损住房恢复重建由所在</w:t>
      </w:r>
      <w:r>
        <w:rPr>
          <w:rFonts w:hint="eastAsia"/>
          <w:color w:val="auto"/>
          <w:szCs w:val="32"/>
        </w:rPr>
        <w:t>村（社区）</w:t>
      </w:r>
      <w:r>
        <w:rPr>
          <w:color w:val="auto"/>
          <w:szCs w:val="32"/>
        </w:rPr>
        <w:t>负责组织实施，</w:t>
      </w:r>
      <w:r>
        <w:rPr>
          <w:rFonts w:hint="eastAsia"/>
          <w:color w:val="auto"/>
          <w:szCs w:val="32"/>
        </w:rPr>
        <w:t>镇经济发展办会同平安法治办</w:t>
      </w:r>
      <w:r>
        <w:rPr>
          <w:color w:val="auto"/>
          <w:szCs w:val="32"/>
        </w:rPr>
        <w:t>统筹安排自然灾害救助资金，</w:t>
      </w:r>
      <w:r>
        <w:rPr>
          <w:rFonts w:hint="eastAsia"/>
          <w:color w:val="auto"/>
          <w:szCs w:val="32"/>
          <w:lang w:eastAsia="zh-CN"/>
        </w:rPr>
        <w:t>根据</w:t>
      </w:r>
      <w:r>
        <w:rPr>
          <w:color w:val="auto"/>
        </w:rPr>
        <w:t>因灾倒损住房恢复重建补助资金标准和管理规范，确保补助资金规范有序发放到受灾群众手中</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6.2.2　</w:t>
      </w:r>
      <w:r>
        <w:rPr>
          <w:color w:val="auto"/>
        </w:rPr>
        <w:t>通过政府救助、社会互助、自行筹措、政策优惠等途径解决恢复重建资金，鼓励通过邻里帮工帮料、以工代赈等方式实施恢复重建。积极发挥保险经济补偿作用，用好巨灾保险、农村住房保险、灾害民生保险</w:t>
      </w:r>
      <w:r>
        <w:rPr>
          <w:rFonts w:hint="eastAsia"/>
          <w:color w:val="auto"/>
          <w:lang w:eastAsia="zh-CN"/>
        </w:rPr>
        <w:t>等</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6.2.3　</w:t>
      </w:r>
      <w:r>
        <w:rPr>
          <w:color w:val="auto"/>
        </w:rPr>
        <w:t>恢复重建规划和房屋设计应尊重群众意愿，加强自然灾害综合风险普查成果转化运用，因地制宜确定方案，科学安排项目选址，合理布局，避开地震断裂带、洪涝灾害高风险区、地质灾害隐患点。无法避让的，须采取工程性防治措施，确保安全</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6.2.4　</w:t>
      </w:r>
      <w:r>
        <w:rPr>
          <w:color w:val="auto"/>
        </w:rPr>
        <w:t>灾情稳定后，受灾</w:t>
      </w:r>
      <w:r>
        <w:rPr>
          <w:rFonts w:hint="eastAsia"/>
          <w:color w:val="auto"/>
          <w:szCs w:val="32"/>
        </w:rPr>
        <w:t>村（社区）</w:t>
      </w:r>
      <w:r>
        <w:rPr>
          <w:color w:val="auto"/>
        </w:rPr>
        <w:t>应立即组织开展倒损住房统计、调查工作，建立分户台账，填写家庭基本情况和住房倒损情况，通过国家自然灾害灾情管理系统报备。根据受灾</w:t>
      </w:r>
      <w:r>
        <w:rPr>
          <w:rFonts w:hint="eastAsia"/>
          <w:color w:val="auto"/>
          <w:szCs w:val="32"/>
        </w:rPr>
        <w:t>村（社区）</w:t>
      </w:r>
      <w:r>
        <w:rPr>
          <w:color w:val="auto"/>
        </w:rPr>
        <w:t>核定的倒损住房情况，</w:t>
      </w:r>
      <w:r>
        <w:rPr>
          <w:rFonts w:hint="eastAsia"/>
          <w:color w:val="auto"/>
          <w:lang w:eastAsia="zh-CN"/>
        </w:rPr>
        <w:t>镇</w:t>
      </w:r>
      <w:r>
        <w:rPr>
          <w:color w:val="auto"/>
        </w:rPr>
        <w:t>防灾减灾救灾委员会办公室对因灾倒损住房情况进行综合评估</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6.2.5　</w:t>
      </w:r>
      <w:r>
        <w:rPr>
          <w:rFonts w:hint="eastAsia"/>
          <w:color w:val="auto"/>
          <w:szCs w:val="32"/>
        </w:rPr>
        <w:t>镇经济发展办会同平安法治办</w:t>
      </w:r>
      <w:r>
        <w:rPr>
          <w:color w:val="auto"/>
          <w:szCs w:val="32"/>
        </w:rPr>
        <w:t>统筹安排自然灾害救助资金，</w:t>
      </w:r>
      <w:r>
        <w:rPr>
          <w:color w:val="auto"/>
        </w:rPr>
        <w:t>支持做好因灾倒损住房恢复重建工作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6.2.6　</w:t>
      </w:r>
      <w:r>
        <w:rPr>
          <w:color w:val="auto"/>
        </w:rPr>
        <w:t>倒损住房恢复重建工作结束后，</w:t>
      </w:r>
      <w:r>
        <w:rPr>
          <w:rFonts w:hint="eastAsia"/>
          <w:color w:val="auto"/>
          <w:szCs w:val="32"/>
          <w:lang w:eastAsia="zh-CN"/>
        </w:rPr>
        <w:t>镇平安法治办</w:t>
      </w:r>
      <w:r>
        <w:rPr>
          <w:color w:val="auto"/>
          <w:szCs w:val="32"/>
        </w:rPr>
        <w:t>会同</w:t>
      </w:r>
      <w:r>
        <w:rPr>
          <w:rFonts w:hint="eastAsia"/>
          <w:color w:val="auto"/>
          <w:szCs w:val="32"/>
          <w:lang w:eastAsia="zh-CN"/>
        </w:rPr>
        <w:t>经济发展办</w:t>
      </w:r>
      <w:r>
        <w:rPr>
          <w:color w:val="auto"/>
        </w:rPr>
        <w:t>采取实地检查方式，对</w:t>
      </w:r>
      <w:r>
        <w:rPr>
          <w:rFonts w:hint="eastAsia"/>
          <w:color w:val="auto"/>
          <w:lang w:eastAsia="zh-CN"/>
        </w:rPr>
        <w:t>辖区</w:t>
      </w:r>
      <w:r>
        <w:rPr>
          <w:color w:val="auto"/>
        </w:rPr>
        <w:t>因灾倒损住房恢复重建补助资金管理使用工作开展绩效评价，并将评价结果报</w:t>
      </w:r>
      <w:r>
        <w:rPr>
          <w:rFonts w:hint="eastAsia"/>
          <w:color w:val="auto"/>
          <w:lang w:eastAsia="zh-CN"/>
        </w:rPr>
        <w:t>区</w:t>
      </w:r>
      <w:r>
        <w:rPr>
          <w:color w:val="auto"/>
        </w:rPr>
        <w:t>应急管理局、</w:t>
      </w:r>
      <w:r>
        <w:rPr>
          <w:rFonts w:hint="eastAsia"/>
          <w:color w:val="auto"/>
          <w:lang w:eastAsia="zh-CN"/>
        </w:rPr>
        <w:t>去</w:t>
      </w:r>
      <w:r>
        <w:rPr>
          <w:color w:val="auto"/>
        </w:rPr>
        <w:t>财政局。</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6.2.7　</w:t>
      </w:r>
      <w:r>
        <w:rPr>
          <w:rFonts w:hint="eastAsia" w:hAnsi="宋体" w:cs="宋体"/>
          <w:color w:val="auto"/>
          <w:szCs w:val="32"/>
          <w:lang w:eastAsia="zh-CN"/>
        </w:rPr>
        <w:t>镇</w:t>
      </w:r>
      <w:r>
        <w:rPr>
          <w:rFonts w:hint="eastAsia" w:hAnsi="宋体" w:cs="宋体"/>
          <w:color w:val="auto"/>
          <w:szCs w:val="32"/>
        </w:rPr>
        <w:t>村镇建设服务中心</w:t>
      </w:r>
      <w:r>
        <w:rPr>
          <w:color w:val="auto"/>
        </w:rPr>
        <w:t>负责倒损住房恢复重建的技术服务和指导，强化质量安全管理</w:t>
      </w:r>
      <w:r>
        <w:rPr>
          <w:rFonts w:hint="eastAsia"/>
          <w:color w:val="auto"/>
          <w:lang w:eastAsia="zh-CN"/>
        </w:rPr>
        <w:t>，</w:t>
      </w:r>
      <w:r>
        <w:rPr>
          <w:color w:val="auto"/>
        </w:rPr>
        <w:t>做好灾后重建项目地质灾害危险性评估审查工作，并根据评估结论指导开展</w:t>
      </w:r>
      <w:r>
        <w:rPr>
          <w:color w:val="auto"/>
          <w:spacing w:val="-3"/>
        </w:rPr>
        <w:t>必要的综合治理</w:t>
      </w:r>
      <w:r>
        <w:rPr>
          <w:rFonts w:hint="eastAsia"/>
          <w:color w:val="auto"/>
          <w:spacing w:val="-3"/>
          <w:lang w:eastAsia="zh-CN"/>
        </w:rPr>
        <w:t>，协助</w:t>
      </w:r>
      <w:r>
        <w:rPr>
          <w:color w:val="auto"/>
          <w:spacing w:val="-3"/>
        </w:rPr>
        <w:t>做好恢复重建农村住房宅基地规划和选址工作</w:t>
      </w:r>
      <w:r>
        <w:rPr>
          <w:color w:val="auto"/>
          <w:szCs w:val="32"/>
        </w:rPr>
        <w:t>。</w:t>
      </w:r>
      <w:r>
        <w:rPr>
          <w:rFonts w:hint="eastAsia"/>
          <w:color w:val="auto"/>
          <w:szCs w:val="32"/>
          <w:lang w:eastAsia="zh-CN"/>
        </w:rPr>
        <w:t>镇</w:t>
      </w:r>
      <w:r>
        <w:rPr>
          <w:rFonts w:hint="eastAsia"/>
          <w:color w:val="auto"/>
          <w:szCs w:val="32"/>
        </w:rPr>
        <w:t>产业发展服务中心</w:t>
      </w:r>
      <w:r>
        <w:rPr>
          <w:color w:val="auto"/>
        </w:rPr>
        <w:t>负责做好恢复重建农村住房宅基地的审批管理工作</w:t>
      </w:r>
      <w:r>
        <w:rPr>
          <w:color w:val="auto"/>
          <w:szCs w:val="32"/>
        </w:rPr>
        <w:t>。</w:t>
      </w:r>
      <w:r>
        <w:rPr>
          <w:color w:val="auto"/>
        </w:rPr>
        <w:t>其他有关部门按照各自职责，制定优惠政策，支持做好住房恢复重建工作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6.3　冬春救助</w:t>
      </w:r>
    </w:p>
    <w:p>
      <w:pPr>
        <w:pageBreakBefore w:val="0"/>
        <w:widowControl/>
        <w:kinsoku/>
        <w:wordWrap/>
        <w:overflowPunct/>
        <w:topLinePunct w:val="0"/>
        <w:autoSpaceDN/>
        <w:bidi w:val="0"/>
        <w:snapToGrid w:val="0"/>
        <w:spacing w:line="594" w:lineRule="exact"/>
        <w:ind w:firstLine="640" w:firstLineChars="200"/>
        <w:textAlignment w:val="auto"/>
        <w:rPr>
          <w:rFonts w:hint="eastAsia"/>
          <w:color w:val="auto"/>
          <w:lang w:eastAsia="zh-CN"/>
        </w:rPr>
      </w:pPr>
      <w:r>
        <w:rPr>
          <w:color w:val="auto"/>
          <w:szCs w:val="32"/>
        </w:rPr>
        <w:t>6.3.1　</w:t>
      </w:r>
      <w:r>
        <w:rPr>
          <w:rFonts w:hint="eastAsia"/>
          <w:color w:val="auto"/>
          <w:lang w:eastAsia="zh-CN"/>
        </w:rPr>
        <w:t>镇</w:t>
      </w:r>
      <w:r>
        <w:rPr>
          <w:color w:val="auto"/>
        </w:rPr>
        <w:t>防灾减灾救灾委员会办公室加强统筹解决受灾群众在灾害发生后的当年冬季、次年春季遇到的基本生活困难</w:t>
      </w:r>
      <w:r>
        <w:rPr>
          <w:rFonts w:hint="eastAsia"/>
          <w:color w:val="auto"/>
          <w:lang w:eastAsia="zh-CN"/>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6.3.2　受灾</w:t>
      </w:r>
      <w:r>
        <w:rPr>
          <w:rFonts w:hint="eastAsia"/>
          <w:color w:val="auto"/>
          <w:szCs w:val="32"/>
        </w:rPr>
        <w:t>村（社区）</w:t>
      </w:r>
      <w:r>
        <w:rPr>
          <w:color w:val="auto"/>
        </w:rPr>
        <w:t>负责，每年9月调查核实本区域内当年冬季和次年春季受灾家庭吃饭、饮水、穿衣、取暖等方面需救助的情况，汇总后通过国家自然灾害灾情管理系统于当年10月10日前</w:t>
      </w:r>
      <w:r>
        <w:rPr>
          <w:rFonts w:hint="eastAsia"/>
          <w:color w:val="auto"/>
          <w:lang w:eastAsia="zh-CN"/>
        </w:rPr>
        <w:t>上</w:t>
      </w:r>
      <w:r>
        <w:rPr>
          <w:color w:val="auto"/>
        </w:rPr>
        <w:t>报。</w:t>
      </w:r>
      <w:r>
        <w:rPr>
          <w:rFonts w:hint="eastAsia"/>
          <w:color w:val="auto"/>
          <w:lang w:eastAsia="zh-CN"/>
        </w:rPr>
        <w:t>镇平安法治办</w:t>
      </w:r>
      <w:r>
        <w:rPr>
          <w:color w:val="auto"/>
        </w:rPr>
        <w:t>于10月15日前审核后，通过国家自然灾害灾情管理系统报</w:t>
      </w:r>
      <w:r>
        <w:rPr>
          <w:rFonts w:hint="eastAsia"/>
          <w:color w:val="auto"/>
          <w:lang w:eastAsia="zh-CN"/>
        </w:rPr>
        <w:t>区</w:t>
      </w:r>
      <w:r>
        <w:rPr>
          <w:color w:val="auto"/>
        </w:rPr>
        <w:t>应急管理局。</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6.3.3　建立工作台账，制定救助工作方案，经</w:t>
      </w:r>
      <w:r>
        <w:rPr>
          <w:rFonts w:hint="eastAsia"/>
          <w:color w:val="auto"/>
          <w:szCs w:val="32"/>
          <w:lang w:eastAsia="zh-CN"/>
        </w:rPr>
        <w:t>镇</w:t>
      </w:r>
      <w:r>
        <w:rPr>
          <w:color w:val="auto"/>
          <w:szCs w:val="32"/>
        </w:rPr>
        <w:t>党委和政府批准后组织实施，并报区应急管理局备案。</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6.3.4　</w:t>
      </w:r>
      <w:r>
        <w:rPr>
          <w:color w:val="auto"/>
        </w:rPr>
        <w:t>每年10月15日前将冬春救助资金申请报告报告报送</w:t>
      </w:r>
      <w:r>
        <w:rPr>
          <w:rFonts w:hint="eastAsia"/>
          <w:color w:val="auto"/>
          <w:lang w:eastAsia="zh-CN"/>
        </w:rPr>
        <w:t>区</w:t>
      </w:r>
      <w:r>
        <w:rPr>
          <w:color w:val="auto"/>
        </w:rPr>
        <w:t>应急管理局</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6.3.5　</w:t>
      </w:r>
      <w:r>
        <w:rPr>
          <w:color w:val="auto"/>
        </w:rPr>
        <w:t>采取实地检查、抽样调查等方式，核实救助需求、救助对象情况；根据需救助人员规模，统筹安排冬春生活困难补助资金，专项用于解决受灾群众冬春基本生活困难</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6.3.6　</w:t>
      </w:r>
      <w:r>
        <w:rPr>
          <w:rFonts w:hint="eastAsia"/>
          <w:color w:val="auto"/>
          <w:szCs w:val="32"/>
        </w:rPr>
        <w:t>镇防灾减灾救灾委员会办公室</w:t>
      </w:r>
      <w:r>
        <w:rPr>
          <w:color w:val="auto"/>
        </w:rPr>
        <w:t>组织调拨发放衣被等物资</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黑体_GBK"/>
          <w:color w:val="auto"/>
          <w:szCs w:val="32"/>
        </w:rPr>
      </w:pPr>
      <w:r>
        <w:rPr>
          <w:rFonts w:eastAsia="方正黑体_GBK"/>
          <w:color w:val="auto"/>
          <w:szCs w:val="32"/>
        </w:rPr>
        <w:t>7　保障措施</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7.1　资金保障</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7.1.1　</w:t>
      </w:r>
      <w:r>
        <w:rPr>
          <w:color w:val="auto"/>
        </w:rPr>
        <w:t>健全自然灾害救助资金、物资保障机制，将自然灾害救灾资金和灾害救助工作经费纳入财政预算</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7.1.2　</w:t>
      </w:r>
      <w:r>
        <w:rPr>
          <w:rFonts w:hint="eastAsia"/>
          <w:color w:val="auto"/>
          <w:szCs w:val="32"/>
          <w:lang w:eastAsia="zh-CN"/>
        </w:rPr>
        <w:t>镇经发展办</w:t>
      </w:r>
      <w:r>
        <w:rPr>
          <w:color w:val="auto"/>
          <w:szCs w:val="32"/>
        </w:rPr>
        <w:t>每年</w:t>
      </w:r>
      <w:r>
        <w:rPr>
          <w:color w:val="auto"/>
        </w:rPr>
        <w:t>综合考虑灾情预测、实际支出等因素，合理安排</w:t>
      </w:r>
      <w:r>
        <w:rPr>
          <w:rFonts w:hint="eastAsia"/>
          <w:color w:val="auto"/>
          <w:lang w:eastAsia="zh-CN"/>
        </w:rPr>
        <w:t>镇</w:t>
      </w:r>
      <w:r>
        <w:rPr>
          <w:color w:val="auto"/>
        </w:rPr>
        <w:t>级自然灾害救助资金预算。</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7.1.3　按照上级规定，</w:t>
      </w:r>
      <w:r>
        <w:rPr>
          <w:color w:val="auto"/>
        </w:rPr>
        <w:t>适时调整救灾补助标准，着力解决好受灾群众急难愁盼问题</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7.1.4　</w:t>
      </w:r>
      <w:r>
        <w:rPr>
          <w:rFonts w:hint="eastAsia"/>
          <w:color w:val="auto"/>
          <w:szCs w:val="32"/>
          <w:lang w:eastAsia="zh-CN"/>
        </w:rPr>
        <w:t>镇平安法治办、经济发展办</w:t>
      </w:r>
      <w:r>
        <w:rPr>
          <w:color w:val="auto"/>
        </w:rPr>
        <w:t>按有关规定开展资金绩效目标管理工作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hint="eastAsia" w:hAnsi="宋体" w:cs="宋体"/>
          <w:color w:val="auto"/>
          <w:szCs w:val="32"/>
          <w:lang w:eastAsia="zh-CN"/>
        </w:rPr>
      </w:pPr>
      <w:r>
        <w:rPr>
          <w:rFonts w:hint="eastAsia" w:hAnsi="宋体" w:cs="宋体"/>
          <w:color w:val="auto"/>
          <w:szCs w:val="32"/>
          <w:lang w:eastAsia="zh-CN"/>
        </w:rPr>
        <w:t>7.2　物资保障</w:t>
      </w:r>
    </w:p>
    <w:p>
      <w:pPr>
        <w:pageBreakBefore w:val="0"/>
        <w:widowControl/>
        <w:suppressAutoHyphens/>
        <w:kinsoku/>
        <w:wordWrap/>
        <w:overflowPunct/>
        <w:topLinePunct w:val="0"/>
        <w:autoSpaceDE w:val="0"/>
        <w:autoSpaceDN/>
        <w:bidi w:val="0"/>
        <w:snapToGrid w:val="0"/>
        <w:spacing w:line="594" w:lineRule="exact"/>
        <w:ind w:firstLine="640" w:firstLineChars="200"/>
        <w:textAlignment w:val="auto"/>
        <w:rPr>
          <w:color w:val="auto"/>
        </w:rPr>
      </w:pPr>
      <w:r>
        <w:rPr>
          <w:color w:val="auto"/>
          <w:szCs w:val="32"/>
        </w:rPr>
        <w:t>7.2.</w:t>
      </w:r>
      <w:r>
        <w:rPr>
          <w:rFonts w:hint="eastAsia"/>
          <w:color w:val="auto"/>
          <w:szCs w:val="32"/>
          <w:lang w:val="en-US" w:eastAsia="zh-CN"/>
        </w:rPr>
        <w:t>1</w:t>
      </w:r>
      <w:r>
        <w:rPr>
          <w:rFonts w:eastAsia="方正楷体_GBK"/>
          <w:color w:val="auto"/>
          <w:szCs w:val="32"/>
        </w:rPr>
        <w:t>　</w:t>
      </w:r>
      <w:r>
        <w:rPr>
          <w:color w:val="auto"/>
        </w:rPr>
        <w:t>结合</w:t>
      </w:r>
      <w:r>
        <w:rPr>
          <w:rFonts w:hint="eastAsia"/>
          <w:color w:val="auto"/>
          <w:lang w:eastAsia="zh-CN"/>
        </w:rPr>
        <w:t>辖区</w:t>
      </w:r>
      <w:r>
        <w:rPr>
          <w:color w:val="auto"/>
        </w:rPr>
        <w:t>自然灾害特点，储备能够满足区域启动二级响应需求的救灾物资，并适度预留空间。健全救灾物资采购和储备制度，及时补充更新救灾物资。</w:t>
      </w:r>
    </w:p>
    <w:p>
      <w:pPr>
        <w:pageBreakBefore w:val="0"/>
        <w:widowControl/>
        <w:suppressAutoHyphens/>
        <w:kinsoku/>
        <w:wordWrap/>
        <w:overflowPunct/>
        <w:topLinePunct w:val="0"/>
        <w:autoSpaceDE w:val="0"/>
        <w:autoSpaceDN/>
        <w:bidi w:val="0"/>
        <w:snapToGrid w:val="0"/>
        <w:spacing w:line="594" w:lineRule="exact"/>
        <w:ind w:firstLine="640" w:firstLineChars="200"/>
        <w:textAlignment w:val="auto"/>
        <w:rPr>
          <w:color w:val="auto"/>
          <w:szCs w:val="32"/>
        </w:rPr>
      </w:pPr>
      <w:r>
        <w:rPr>
          <w:color w:val="auto"/>
          <w:szCs w:val="32"/>
        </w:rPr>
        <w:t>7.2.</w:t>
      </w:r>
      <w:r>
        <w:rPr>
          <w:rFonts w:hint="eastAsia"/>
          <w:color w:val="auto"/>
          <w:szCs w:val="32"/>
          <w:lang w:val="en-US" w:eastAsia="zh-CN"/>
        </w:rPr>
        <w:t>2</w:t>
      </w:r>
      <w:r>
        <w:rPr>
          <w:rFonts w:eastAsia="方正楷体_GBK"/>
          <w:color w:val="auto"/>
          <w:szCs w:val="32"/>
        </w:rPr>
        <w:t>　</w:t>
      </w:r>
      <w:r>
        <w:rPr>
          <w:color w:val="auto"/>
        </w:rPr>
        <w:t>健全救灾物资紧急调拨和运输制度，提高救灾物资装卸、流转效率和应急调运水平，与市场化程度高、集散能力强的物流企业建立战略合作</w:t>
      </w:r>
      <w:r>
        <w:rPr>
          <w:color w:val="auto"/>
          <w:szCs w:val="32"/>
        </w:rPr>
        <w:t>。</w:t>
      </w:r>
    </w:p>
    <w:p>
      <w:pPr>
        <w:pageBreakBefore w:val="0"/>
        <w:widowControl/>
        <w:suppressAutoHyphens/>
        <w:kinsoku/>
        <w:wordWrap/>
        <w:overflowPunct/>
        <w:topLinePunct w:val="0"/>
        <w:autoSpaceDE w:val="0"/>
        <w:autoSpaceDN/>
        <w:bidi w:val="0"/>
        <w:snapToGrid w:val="0"/>
        <w:spacing w:line="594" w:lineRule="exact"/>
        <w:ind w:firstLine="640" w:firstLineChars="200"/>
        <w:textAlignment w:val="auto"/>
        <w:rPr>
          <w:color w:val="auto"/>
          <w:szCs w:val="32"/>
        </w:rPr>
      </w:pPr>
      <w:r>
        <w:rPr>
          <w:color w:val="auto"/>
          <w:szCs w:val="32"/>
        </w:rPr>
        <w:t>7.2.</w:t>
      </w:r>
      <w:r>
        <w:rPr>
          <w:rFonts w:hint="eastAsia"/>
          <w:color w:val="auto"/>
          <w:szCs w:val="32"/>
          <w:lang w:val="en-US" w:eastAsia="zh-CN"/>
        </w:rPr>
        <w:t>3</w:t>
      </w:r>
      <w:r>
        <w:rPr>
          <w:rFonts w:eastAsia="方正楷体_GBK"/>
          <w:color w:val="auto"/>
          <w:szCs w:val="32"/>
        </w:rPr>
        <w:t>　</w:t>
      </w:r>
      <w:r>
        <w:rPr>
          <w:color w:val="auto"/>
        </w:rPr>
        <w:t>健全救灾物资应急征用补偿机制。</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7.3　通信和信息保障</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7.3.</w:t>
      </w:r>
      <w:r>
        <w:rPr>
          <w:rFonts w:hint="eastAsia"/>
          <w:color w:val="auto"/>
          <w:szCs w:val="32"/>
          <w:lang w:val="en-US" w:eastAsia="zh-CN"/>
        </w:rPr>
        <w:t>1</w:t>
      </w:r>
      <w:r>
        <w:rPr>
          <w:color w:val="auto"/>
          <w:szCs w:val="32"/>
        </w:rPr>
        <w:t>　</w:t>
      </w:r>
      <w:r>
        <w:rPr>
          <w:color w:val="auto"/>
        </w:rPr>
        <w:t>充分依托国家自然灾害灾情管理系统，拓宽灾情报送渠道，提升及时准确获取较大灾情能力</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7.3.</w:t>
      </w:r>
      <w:r>
        <w:rPr>
          <w:rFonts w:hint="eastAsia"/>
          <w:color w:val="auto"/>
          <w:szCs w:val="32"/>
          <w:lang w:val="en-US" w:eastAsia="zh-CN"/>
        </w:rPr>
        <w:t>2</w:t>
      </w:r>
      <w:r>
        <w:rPr>
          <w:color w:val="auto"/>
          <w:szCs w:val="32"/>
        </w:rPr>
        <w:t>　</w:t>
      </w:r>
      <w:r>
        <w:rPr>
          <w:color w:val="auto"/>
        </w:rPr>
        <w:t>充分利用现有资源、设备，完善灾情和数据共享平台，健全灾情共享机制，强化数据及时共享。加强灾害救助工作信息化建设</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7.4　装备和设施保障</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7.4.1　</w:t>
      </w:r>
      <w:r>
        <w:rPr>
          <w:rFonts w:hint="eastAsia"/>
          <w:color w:val="auto"/>
          <w:lang w:eastAsia="zh-CN"/>
        </w:rPr>
        <w:t>镇</w:t>
      </w:r>
      <w:r>
        <w:rPr>
          <w:color w:val="auto"/>
        </w:rPr>
        <w:t>防灾减灾救灾委员会应完善上下贯通的调度指挥、会商研判、业务保障系统，自然灾害高风险村（社区）应配备必要的救灾设备，提升基层自救互救能力。</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7.4.2　</w:t>
      </w:r>
      <w:r>
        <w:rPr>
          <w:color w:val="auto"/>
        </w:rPr>
        <w:t>根据总体规划，结合居民人口数量和分布情况，利用学校、公园绿地、广场、文体场馆等公共设施和场地空间，建设综合性应急避难场所，科学合理确定应急避难场所数量规模、等级类别、服务半径、设施设备物资配置指标，设置明显标志。</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7.4.3　灾情发生后，要视情</w:t>
      </w:r>
      <w:r>
        <w:rPr>
          <w:color w:val="auto"/>
        </w:rPr>
        <w:t>及时开放各类应急避难场所，科学设置受灾群众安置点，避开山洪、地质灾害隐患点及其他危险区域，避免发生次生灾害。加强安置点消防安全、卫生医疗、防疫消杀、食品安全、治安保障，确保安全有序</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7.5　人力资源保障</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7.5.1　</w:t>
      </w:r>
      <w:r>
        <w:rPr>
          <w:color w:val="auto"/>
        </w:rPr>
        <w:t>加强自然灾害各类救灾队伍建设，支持、培育和发展相关社会组织、社会工作者和志愿者队伍</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7.5.2　</w:t>
      </w:r>
      <w:r>
        <w:rPr>
          <w:color w:val="auto"/>
        </w:rPr>
        <w:t>组织专家，开展灾情会商、赴灾区现场评估及灾害管理咨询工作</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7.5.3　</w:t>
      </w:r>
      <w:r>
        <w:rPr>
          <w:color w:val="auto"/>
        </w:rPr>
        <w:t>落实自然灾害信息员培训制度，健全村（社区）自然灾害信息员队伍。</w:t>
      </w:r>
      <w:r>
        <w:rPr>
          <w:rFonts w:hint="eastAsia"/>
          <w:color w:val="auto"/>
          <w:lang w:eastAsia="zh-CN"/>
        </w:rPr>
        <w:t>各</w:t>
      </w:r>
      <w:r>
        <w:rPr>
          <w:color w:val="auto"/>
        </w:rPr>
        <w:t>村民委员会、居民委员会和企事业单位应设立专职或者兼职信息员</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7.6　社会动员保障</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7.6.1　健全灾害救助协同联动机制，引导社会力量有序参与。</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7.6.</w:t>
      </w:r>
      <w:r>
        <w:rPr>
          <w:rFonts w:hint="eastAsia"/>
          <w:color w:val="auto"/>
          <w:lang w:val="en-US" w:eastAsia="zh-CN"/>
        </w:rPr>
        <w:t>2</w:t>
      </w:r>
      <w:r>
        <w:rPr>
          <w:color w:val="auto"/>
        </w:rPr>
        <w:t>　依托国家灾害应急救援救助平台，积极引导社会力量和公众开展相关活动。</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7.6.</w:t>
      </w:r>
      <w:r>
        <w:rPr>
          <w:rFonts w:hint="eastAsia"/>
          <w:color w:val="auto"/>
          <w:lang w:val="en-US" w:eastAsia="zh-CN"/>
        </w:rPr>
        <w:t>3</w:t>
      </w:r>
      <w:r>
        <w:rPr>
          <w:color w:val="auto"/>
        </w:rPr>
        <w:t>　科学组织引导村（社区）、企事业单位和社会组织、社会工作者、志愿者在救助中发挥作用</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7.7　科技保障</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7.7.1　</w:t>
      </w:r>
      <w:r>
        <w:rPr>
          <w:color w:val="auto"/>
        </w:rPr>
        <w:t>组织开展自然灾害综合风险普查，及时完善全</w:t>
      </w:r>
      <w:r>
        <w:rPr>
          <w:rFonts w:hint="eastAsia"/>
          <w:color w:val="auto"/>
          <w:lang w:eastAsia="zh-CN"/>
        </w:rPr>
        <w:t>镇</w:t>
      </w:r>
      <w:r>
        <w:rPr>
          <w:color w:val="auto"/>
        </w:rPr>
        <w:t>自然灾害风险和防治区划图，制定相关技术和管理标准</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7.7.2　</w:t>
      </w:r>
      <w:r>
        <w:rPr>
          <w:color w:val="auto"/>
        </w:rPr>
        <w:t>健全</w:t>
      </w:r>
      <w:r>
        <w:rPr>
          <w:rFonts w:hint="eastAsia"/>
          <w:color w:val="auto"/>
          <w:lang w:eastAsia="zh-CN"/>
        </w:rPr>
        <w:t>全镇</w:t>
      </w:r>
      <w:r>
        <w:rPr>
          <w:color w:val="auto"/>
        </w:rPr>
        <w:t>应急广播体系，实现灾情预警预报和减灾救灾信息全面立体覆盖。通过突发事件预警信息发布系统，及时向群众发布灾害预警信息，确保直达基层一线</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7.8　宣传和培训</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加强防灾减灾救灾知识宣传，广泛宣传应急法律法规和自然灾害预防、避险、避灾、自救、互救、保险常识。组织开展“全国防灾减灾日”、“国际减灾日”、“世界急救日”、“世界气象日”、“全国科普日”、“全国科技活动周”、“全国消防日”、“国际民防日”等活动，提高公民防灾减灾救灾意识和能力。积极推进综合减灾示范社区建设，筑牢防灾减灾救灾人民防线</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黑体_GBK"/>
          <w:color w:val="auto"/>
          <w:szCs w:val="32"/>
        </w:rPr>
      </w:pPr>
      <w:r>
        <w:rPr>
          <w:rFonts w:eastAsia="方正黑体_GBK"/>
          <w:color w:val="auto"/>
          <w:szCs w:val="32"/>
        </w:rPr>
        <w:t>8　附则</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8.1　术语解释</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rPr>
        <w:t>本预案所称自然灾害主要包括洪涝、干旱等水旱灾害，风雹、低温冷冻、高温、雪灾、沙尘暴等气象灾害，地震灾害，崩塌、滑坡、泥石流等地质灾害，森林草原火灾和重大生物灾害等。</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本预案所称“以上”含本数，“以下”不含本数</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8.2　责任与奖惩</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对</w:t>
      </w:r>
      <w:r>
        <w:rPr>
          <w:color w:val="auto"/>
          <w:spacing w:val="-3"/>
        </w:rPr>
        <w:t>在自然灾害救助中表现突出、作出突出贡献的集体和个人，</w:t>
      </w:r>
      <w:r>
        <w:rPr>
          <w:color w:val="auto"/>
        </w:rPr>
        <w:t>按照有关规定给予表彰奖励；对玩忽职守造成损失的，依据有关法律法规追究当事人责任，构成犯罪的，依法追究刑事责任</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8.3　预案管理</w:t>
      </w:r>
    </w:p>
    <w:p>
      <w:pPr>
        <w:pageBreakBefore w:val="0"/>
        <w:widowControl/>
        <w:kinsoku/>
        <w:wordWrap/>
        <w:overflowPunct/>
        <w:topLinePunct w:val="0"/>
        <w:autoSpaceDN/>
        <w:bidi w:val="0"/>
        <w:snapToGrid w:val="0"/>
        <w:spacing w:line="594" w:lineRule="exact"/>
        <w:ind w:firstLine="640" w:firstLineChars="200"/>
        <w:textAlignment w:val="auto"/>
        <w:rPr>
          <w:color w:val="auto"/>
        </w:rPr>
      </w:pPr>
      <w:r>
        <w:rPr>
          <w:color w:val="auto"/>
          <w:szCs w:val="32"/>
        </w:rPr>
        <w:t>8.3.1　</w:t>
      </w:r>
      <w:r>
        <w:rPr>
          <w:color w:val="auto"/>
        </w:rPr>
        <w:t>本预案由</w:t>
      </w:r>
      <w:r>
        <w:rPr>
          <w:rFonts w:hint="eastAsia"/>
          <w:color w:val="auto"/>
          <w:lang w:eastAsia="zh-CN"/>
        </w:rPr>
        <w:t>镇</w:t>
      </w:r>
      <w:r>
        <w:rPr>
          <w:color w:val="auto"/>
        </w:rPr>
        <w:t>防灾减灾救灾委员会办公室编制，报区</w:t>
      </w:r>
      <w:r>
        <w:rPr>
          <w:rFonts w:hint="eastAsia"/>
          <w:color w:val="auto"/>
          <w:lang w:eastAsia="zh-CN"/>
        </w:rPr>
        <w:t>应急局备案</w:t>
      </w:r>
      <w:r>
        <w:rPr>
          <w:color w:val="auto"/>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8.3.2　</w:t>
      </w:r>
      <w:r>
        <w:rPr>
          <w:rFonts w:hint="eastAsia"/>
          <w:color w:val="auto"/>
          <w:szCs w:val="32"/>
          <w:lang w:eastAsia="zh-CN"/>
        </w:rPr>
        <w:t>镇</w:t>
      </w:r>
      <w:r>
        <w:rPr>
          <w:color w:val="auto"/>
        </w:rPr>
        <w:t>防灾减灾救灾委员会成员单位可根据实际制定落实本预案任务的工作手册、行动方案</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szCs w:val="32"/>
        </w:rPr>
        <w:t>8.3.</w:t>
      </w:r>
      <w:r>
        <w:rPr>
          <w:rFonts w:hint="eastAsia"/>
          <w:color w:val="auto"/>
          <w:szCs w:val="32"/>
          <w:lang w:val="en-US" w:eastAsia="zh-CN"/>
        </w:rPr>
        <w:t>3</w:t>
      </w:r>
      <w:r>
        <w:rPr>
          <w:color w:val="auto"/>
          <w:szCs w:val="32"/>
        </w:rPr>
        <w:t>　</w:t>
      </w:r>
      <w:r>
        <w:rPr>
          <w:rFonts w:hint="eastAsia"/>
          <w:color w:val="auto"/>
          <w:szCs w:val="32"/>
          <w:lang w:eastAsia="zh-CN"/>
        </w:rPr>
        <w:t>镇</w:t>
      </w:r>
      <w:r>
        <w:rPr>
          <w:color w:val="auto"/>
        </w:rPr>
        <w:t>防灾减灾救灾委员会办公室会同相关成员单位，制定本预案宣传培训和演练计划，定期组织开展演练</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8.4　参照情形</w:t>
      </w:r>
    </w:p>
    <w:p>
      <w:pPr>
        <w:pageBreakBefore w:val="0"/>
        <w:widowControl/>
        <w:kinsoku/>
        <w:wordWrap/>
        <w:overflowPunct/>
        <w:topLinePunct w:val="0"/>
        <w:autoSpaceDN/>
        <w:bidi w:val="0"/>
        <w:snapToGrid w:val="0"/>
        <w:spacing w:line="594" w:lineRule="exact"/>
        <w:ind w:firstLine="640" w:firstLineChars="200"/>
        <w:textAlignment w:val="auto"/>
        <w:rPr>
          <w:color w:val="auto"/>
          <w:szCs w:val="32"/>
        </w:rPr>
      </w:pPr>
      <w:r>
        <w:rPr>
          <w:color w:val="auto"/>
        </w:rPr>
        <w:t>发生自然灾害以外的其他类型突发事件，根据工作需要可参照本预案开展应急救助</w:t>
      </w:r>
      <w:r>
        <w:rPr>
          <w:color w:val="auto"/>
          <w:szCs w:val="32"/>
        </w:rPr>
        <w:t>。</w:t>
      </w:r>
    </w:p>
    <w:p>
      <w:pPr>
        <w:pageBreakBefore w:val="0"/>
        <w:widowControl/>
        <w:kinsoku/>
        <w:wordWrap/>
        <w:overflowPunct/>
        <w:topLinePunct w:val="0"/>
        <w:autoSpaceDN/>
        <w:bidi w:val="0"/>
        <w:snapToGrid w:val="0"/>
        <w:spacing w:line="594" w:lineRule="exact"/>
        <w:ind w:firstLine="640" w:firstLineChars="200"/>
        <w:textAlignment w:val="auto"/>
        <w:rPr>
          <w:rFonts w:eastAsia="方正楷体_GBK"/>
          <w:color w:val="auto"/>
          <w:szCs w:val="32"/>
        </w:rPr>
      </w:pPr>
      <w:r>
        <w:rPr>
          <w:rFonts w:eastAsia="方正楷体_GBK"/>
          <w:color w:val="auto"/>
          <w:szCs w:val="32"/>
        </w:rPr>
        <w:t>8.5　预案实施时间</w:t>
      </w:r>
    </w:p>
    <w:p>
      <w:pPr>
        <w:pageBreakBefore w:val="0"/>
        <w:widowControl/>
        <w:kinsoku/>
        <w:wordWrap/>
        <w:overflowPunct/>
        <w:topLinePunct w:val="0"/>
        <w:autoSpaceDN/>
        <w:bidi w:val="0"/>
        <w:snapToGrid w:val="0"/>
        <w:spacing w:line="594" w:lineRule="exact"/>
        <w:ind w:firstLine="640" w:firstLineChars="200"/>
        <w:textAlignment w:val="auto"/>
        <w:rPr>
          <w:rFonts w:hint="eastAsia"/>
          <w:color w:val="auto"/>
          <w:szCs w:val="32"/>
        </w:rPr>
      </w:pPr>
      <w:r>
        <w:rPr>
          <w:color w:val="auto"/>
          <w:szCs w:val="32"/>
        </w:rPr>
        <w:t>本预案自印发之日起实施。《</w:t>
      </w:r>
      <w:r>
        <w:rPr>
          <w:rFonts w:hint="eastAsia"/>
          <w:color w:val="auto"/>
          <w:szCs w:val="32"/>
        </w:rPr>
        <w:t>重庆市永川区红炉镇人民政府</w:t>
      </w:r>
    </w:p>
    <w:p>
      <w:pPr>
        <w:pageBreakBefore w:val="0"/>
        <w:widowControl/>
        <w:kinsoku/>
        <w:wordWrap/>
        <w:overflowPunct/>
        <w:topLinePunct w:val="0"/>
        <w:autoSpaceDN/>
        <w:bidi w:val="0"/>
        <w:snapToGrid w:val="0"/>
        <w:spacing w:line="594" w:lineRule="exact"/>
        <w:ind w:left="0" w:leftChars="0" w:firstLine="0" w:firstLineChars="0"/>
        <w:textAlignment w:val="auto"/>
        <w:rPr>
          <w:color w:val="auto"/>
          <w:szCs w:val="32"/>
        </w:rPr>
      </w:pPr>
      <w:r>
        <w:rPr>
          <w:rFonts w:hint="eastAsia"/>
          <w:color w:val="auto"/>
          <w:szCs w:val="32"/>
        </w:rPr>
        <w:t>关于印发红炉镇自然灾害救助应急预案的通知</w:t>
      </w:r>
      <w:r>
        <w:rPr>
          <w:color w:val="auto"/>
          <w:szCs w:val="32"/>
        </w:rPr>
        <w:t>》（</w:t>
      </w:r>
      <w:r>
        <w:rPr>
          <w:rFonts w:hint="eastAsia"/>
          <w:color w:val="auto"/>
          <w:szCs w:val="32"/>
        </w:rPr>
        <w:t>红炉府发〔2024〕13号</w:t>
      </w:r>
      <w:r>
        <w:rPr>
          <w:color w:val="auto"/>
          <w:szCs w:val="32"/>
        </w:rPr>
        <w:t>）同时废止。</w:t>
      </w:r>
      <w:r>
        <w:rPr>
          <w:color w:val="auto"/>
          <w:szCs w:val="32"/>
        </w:rPr>
        <w:br w:type="textWrapping"/>
      </w:r>
    </w:p>
    <w:p>
      <w:pPr>
        <w:pageBreakBefore w:val="0"/>
        <w:widowControl/>
        <w:kinsoku/>
        <w:wordWrap/>
        <w:overflowPunct/>
        <w:topLinePunct w:val="0"/>
        <w:autoSpaceDN/>
        <w:bidi w:val="0"/>
        <w:snapToGrid w:val="0"/>
        <w:spacing w:line="594" w:lineRule="exact"/>
        <w:ind w:firstLine="640" w:firstLineChars="200"/>
        <w:textAlignment w:val="auto"/>
        <w:rPr>
          <w:rFonts w:hint="eastAsia"/>
          <w:color w:val="auto"/>
        </w:rPr>
        <w:sectPr>
          <w:headerReference r:id="rId5" w:type="default"/>
          <w:footerReference r:id="rId6" w:type="default"/>
          <w:pgSz w:w="11906" w:h="16838"/>
          <w:pgMar w:top="1984" w:right="1446" w:bottom="1644" w:left="1446" w:header="851" w:footer="1474" w:gutter="0"/>
          <w:pgNumType w:fmt="numberInDash"/>
          <w:cols w:space="720" w:num="1"/>
          <w:docGrid w:type="lines" w:linePitch="312" w:charSpace="0"/>
        </w:sectPr>
      </w:pPr>
      <w:r>
        <w:rPr>
          <w:color w:val="auto"/>
        </w:rPr>
        <w:t>附件：</w:t>
      </w:r>
      <w:r>
        <w:rPr>
          <w:rFonts w:hint="eastAsia"/>
          <w:color w:val="auto"/>
        </w:rPr>
        <w:t>自然灾害救助应急响应工作表</w:t>
      </w:r>
    </w:p>
    <w:bookmarkEnd w:id="13"/>
    <w:p>
      <w:pPr>
        <w:spacing w:line="600" w:lineRule="exact"/>
        <w:ind w:left="0" w:leftChars="0" w:firstLine="0" w:firstLineChars="0"/>
        <w:outlineLvl w:val="0"/>
        <w:rPr>
          <w:rFonts w:hint="eastAsia" w:eastAsia="方正黑体_GBK"/>
          <w:color w:val="auto"/>
        </w:rPr>
      </w:pPr>
      <w:r>
        <w:rPr>
          <w:rFonts w:hint="eastAsia" w:eastAsia="方正黑体_GBK"/>
          <w:color w:val="auto"/>
        </w:rPr>
        <w:t>附件</w:t>
      </w:r>
    </w:p>
    <w:p>
      <w:pPr>
        <w:spacing w:line="600" w:lineRule="exact"/>
        <w:jc w:val="center"/>
        <w:outlineLvl w:val="0"/>
        <w:rPr>
          <w:rFonts w:hint="eastAsia" w:eastAsia="方正小标宋_GBK" w:cs="方正小标宋_GBK"/>
          <w:color w:val="auto"/>
          <w:sz w:val="36"/>
          <w:szCs w:val="36"/>
        </w:rPr>
      </w:pPr>
      <w:r>
        <w:rPr>
          <w:rFonts w:hint="eastAsia" w:eastAsia="方正小标宋_GBK"/>
          <w:color w:val="auto"/>
          <w:sz w:val="36"/>
          <w:szCs w:val="36"/>
        </w:rPr>
        <w:t>自然灾害救助应急</w:t>
      </w:r>
      <w:r>
        <w:rPr>
          <w:rFonts w:hint="eastAsia" w:eastAsia="方正小标宋_GBK" w:cs="方正小标宋_GBK"/>
          <w:color w:val="auto"/>
          <w:sz w:val="36"/>
          <w:szCs w:val="36"/>
        </w:rPr>
        <w:t>响应工作表</w:t>
      </w:r>
    </w:p>
    <w:tbl>
      <w:tblPr>
        <w:tblStyle w:val="16"/>
        <w:tblW w:w="15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57"/>
        <w:gridCol w:w="2322"/>
        <w:gridCol w:w="989"/>
        <w:gridCol w:w="2527"/>
        <w:gridCol w:w="862"/>
        <w:gridCol w:w="2835"/>
        <w:gridCol w:w="1095"/>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61" w:type="dxa"/>
            <w:noWrap w:val="0"/>
            <w:vAlign w:val="center"/>
          </w:tcPr>
          <w:p>
            <w:pPr>
              <w:adjustRightInd w:val="0"/>
              <w:snapToGrid w:val="0"/>
              <w:spacing w:line="300" w:lineRule="exact"/>
              <w:ind w:left="0" w:leftChars="0" w:firstLine="0" w:firstLineChars="0"/>
              <w:jc w:val="center"/>
              <w:rPr>
                <w:rFonts w:hint="eastAsia" w:eastAsia="方正黑体_GBK" w:cs="方正黑体_GBK"/>
                <w:color w:val="auto"/>
                <w:sz w:val="22"/>
                <w:szCs w:val="22"/>
              </w:rPr>
            </w:pPr>
            <w:r>
              <w:rPr>
                <w:rFonts w:hint="eastAsia" w:eastAsia="方正黑体_GBK" w:cs="方正黑体_GBK"/>
                <w:color w:val="auto"/>
                <w:sz w:val="22"/>
                <w:szCs w:val="22"/>
              </w:rPr>
              <w:t>响应等级</w:t>
            </w:r>
          </w:p>
        </w:tc>
        <w:tc>
          <w:tcPr>
            <w:tcW w:w="3379" w:type="dxa"/>
            <w:gridSpan w:val="2"/>
            <w:noWrap w:val="0"/>
            <w:vAlign w:val="center"/>
          </w:tcPr>
          <w:p>
            <w:pPr>
              <w:spacing w:line="300" w:lineRule="exact"/>
              <w:jc w:val="center"/>
              <w:rPr>
                <w:rFonts w:hint="eastAsia" w:eastAsia="方正黑体_GBK" w:cs="方正黑体_GBK"/>
                <w:color w:val="auto"/>
                <w:sz w:val="22"/>
                <w:szCs w:val="22"/>
              </w:rPr>
            </w:pPr>
            <w:r>
              <w:rPr>
                <w:rFonts w:hint="eastAsia" w:eastAsia="方正黑体_GBK" w:cs="方正黑体_GBK"/>
                <w:bCs/>
                <w:color w:val="auto"/>
                <w:kern w:val="0"/>
                <w:sz w:val="24"/>
                <w:szCs w:val="24"/>
                <w:lang w:bidi="ar"/>
              </w:rPr>
              <w:t>四级响应</w:t>
            </w:r>
          </w:p>
        </w:tc>
        <w:tc>
          <w:tcPr>
            <w:tcW w:w="3516" w:type="dxa"/>
            <w:gridSpan w:val="2"/>
            <w:noWrap w:val="0"/>
            <w:vAlign w:val="center"/>
          </w:tcPr>
          <w:p>
            <w:pPr>
              <w:spacing w:line="300" w:lineRule="exact"/>
              <w:jc w:val="center"/>
              <w:rPr>
                <w:rFonts w:hint="eastAsia" w:eastAsia="方正黑体_GBK" w:cs="方正黑体_GBK"/>
                <w:color w:val="auto"/>
                <w:sz w:val="22"/>
                <w:szCs w:val="22"/>
              </w:rPr>
            </w:pPr>
            <w:r>
              <w:rPr>
                <w:rFonts w:hint="eastAsia" w:eastAsia="方正黑体_GBK" w:cs="方正黑体_GBK"/>
                <w:bCs/>
                <w:color w:val="auto"/>
                <w:kern w:val="0"/>
                <w:sz w:val="24"/>
                <w:szCs w:val="24"/>
                <w:lang w:eastAsia="zh-CN" w:bidi="ar"/>
              </w:rPr>
              <w:t>区级</w:t>
            </w:r>
            <w:r>
              <w:rPr>
                <w:rFonts w:hint="eastAsia" w:eastAsia="方正黑体_GBK" w:cs="方正黑体_GBK"/>
                <w:bCs/>
                <w:color w:val="auto"/>
                <w:kern w:val="0"/>
                <w:sz w:val="24"/>
                <w:szCs w:val="24"/>
                <w:lang w:bidi="ar"/>
              </w:rPr>
              <w:t>三级响应</w:t>
            </w:r>
          </w:p>
        </w:tc>
        <w:tc>
          <w:tcPr>
            <w:tcW w:w="3697" w:type="dxa"/>
            <w:gridSpan w:val="2"/>
            <w:noWrap w:val="0"/>
            <w:vAlign w:val="center"/>
          </w:tcPr>
          <w:p>
            <w:pPr>
              <w:spacing w:line="300" w:lineRule="exact"/>
              <w:jc w:val="center"/>
              <w:rPr>
                <w:rFonts w:hint="eastAsia" w:eastAsia="方正黑体_GBK" w:cs="方正黑体_GBK"/>
                <w:bCs/>
                <w:color w:val="auto"/>
                <w:kern w:val="0"/>
                <w:sz w:val="24"/>
                <w:szCs w:val="24"/>
                <w:lang w:bidi="ar"/>
              </w:rPr>
            </w:pPr>
            <w:r>
              <w:rPr>
                <w:rFonts w:hint="eastAsia" w:eastAsia="方正黑体_GBK" w:cs="方正黑体_GBK"/>
                <w:bCs/>
                <w:color w:val="auto"/>
                <w:kern w:val="0"/>
                <w:sz w:val="24"/>
                <w:szCs w:val="24"/>
                <w:lang w:eastAsia="zh-CN" w:bidi="ar"/>
              </w:rPr>
              <w:t>区级</w:t>
            </w:r>
            <w:r>
              <w:rPr>
                <w:rFonts w:hint="eastAsia" w:eastAsia="方正黑体_GBK" w:cs="方正黑体_GBK"/>
                <w:bCs/>
                <w:color w:val="auto"/>
                <w:kern w:val="0"/>
                <w:sz w:val="24"/>
                <w:szCs w:val="24"/>
                <w:lang w:bidi="ar"/>
              </w:rPr>
              <w:t>二级响应</w:t>
            </w:r>
          </w:p>
        </w:tc>
        <w:tc>
          <w:tcPr>
            <w:tcW w:w="3796" w:type="dxa"/>
            <w:gridSpan w:val="2"/>
            <w:noWrap w:val="0"/>
            <w:vAlign w:val="center"/>
          </w:tcPr>
          <w:p>
            <w:pPr>
              <w:spacing w:line="300" w:lineRule="exact"/>
              <w:jc w:val="center"/>
              <w:rPr>
                <w:rFonts w:hint="eastAsia" w:eastAsia="方正黑体_GBK" w:cs="方正黑体_GBK"/>
                <w:color w:val="auto"/>
                <w:sz w:val="22"/>
                <w:szCs w:val="22"/>
              </w:rPr>
            </w:pPr>
            <w:r>
              <w:rPr>
                <w:rFonts w:hint="eastAsia" w:eastAsia="方正黑体_GBK" w:cs="方正黑体_GBK"/>
                <w:bCs/>
                <w:color w:val="auto"/>
                <w:kern w:val="0"/>
                <w:sz w:val="24"/>
                <w:szCs w:val="24"/>
                <w:lang w:eastAsia="zh-CN" w:bidi="ar"/>
              </w:rPr>
              <w:t>区级</w:t>
            </w:r>
            <w:r>
              <w:rPr>
                <w:rFonts w:hint="eastAsia" w:eastAsia="方正黑体_GBK" w:cs="方正黑体_GBK"/>
                <w:bCs/>
                <w:color w:val="auto"/>
                <w:kern w:val="0"/>
                <w:sz w:val="24"/>
                <w:szCs w:val="24"/>
                <w:lang w:bidi="ar"/>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atLeast"/>
          <w:tblHeader/>
          <w:jc w:val="center"/>
        </w:trPr>
        <w:tc>
          <w:tcPr>
            <w:tcW w:w="1261" w:type="dxa"/>
            <w:noWrap w:val="0"/>
            <w:vAlign w:val="center"/>
          </w:tcPr>
          <w:p>
            <w:pPr>
              <w:adjustRightInd w:val="0"/>
              <w:snapToGrid w:val="0"/>
              <w:spacing w:line="320" w:lineRule="exact"/>
              <w:ind w:left="0" w:leftChars="0" w:firstLine="0" w:firstLineChars="0"/>
              <w:jc w:val="center"/>
              <w:rPr>
                <w:rFonts w:hint="eastAsia" w:hAnsi="宋体" w:eastAsia="方正黑体_GBK" w:cs="方正黑体_GBK"/>
                <w:color w:val="auto"/>
                <w:sz w:val="20"/>
              </w:rPr>
            </w:pPr>
            <w:r>
              <w:rPr>
                <w:rFonts w:hint="eastAsia" w:hAnsi="宋体" w:eastAsia="方正黑体_GBK" w:cs="方正黑体_GBK"/>
                <w:color w:val="auto"/>
                <w:sz w:val="20"/>
              </w:rPr>
              <w:t>响应启动</w:t>
            </w:r>
          </w:p>
          <w:p>
            <w:pPr>
              <w:adjustRightInd w:val="0"/>
              <w:snapToGrid w:val="0"/>
              <w:spacing w:line="320" w:lineRule="exact"/>
              <w:ind w:left="0" w:leftChars="0" w:firstLine="0" w:firstLineChars="0"/>
              <w:jc w:val="center"/>
              <w:rPr>
                <w:rFonts w:hint="eastAsia" w:eastAsia="方正黑体_GBK" w:cs="方正黑体_GBK"/>
                <w:color w:val="auto"/>
                <w:sz w:val="20"/>
                <w:lang w:eastAsia="zh-CN"/>
              </w:rPr>
            </w:pPr>
            <w:r>
              <w:rPr>
                <w:rFonts w:hint="eastAsia" w:hAnsi="宋体" w:eastAsia="方正黑体_GBK" w:cs="方正黑体_GBK"/>
                <w:color w:val="auto"/>
                <w:sz w:val="20"/>
              </w:rPr>
              <w:t>条件</w:t>
            </w:r>
            <w:r>
              <w:rPr>
                <w:rFonts w:hint="eastAsia" w:hAnsi="宋体" w:eastAsia="方正黑体_GBK" w:cs="方正黑体_GBK"/>
                <w:color w:val="auto"/>
                <w:sz w:val="20"/>
                <w:lang w:eastAsia="zh-CN"/>
              </w:rPr>
              <w:t>（区级）</w:t>
            </w:r>
          </w:p>
        </w:tc>
        <w:tc>
          <w:tcPr>
            <w:tcW w:w="3379" w:type="dxa"/>
            <w:gridSpan w:val="2"/>
            <w:noWrap w:val="0"/>
            <w:vAlign w:val="top"/>
          </w:tcPr>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发生自然灾害，一次灾害过程出现或经会商研判可能出现下列情况之一的，启动四级响应：</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（1）死亡和失踪1人以上、3人以下；</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（2）紧急转移安置和需紧急生活救助500人以上、2000人以下；</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（3）倒塌和严重损坏房屋100间或30户以上、500间或150户以下；</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（4）干旱灾害造成缺粮或缺水等生活困难，需救助人数达1万人以上、3万人以下。</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（5）区防灾减灾救灾委员会研判认为需启动四级响应的其他情况。</w:t>
            </w:r>
          </w:p>
        </w:tc>
        <w:tc>
          <w:tcPr>
            <w:tcW w:w="3516" w:type="dxa"/>
            <w:gridSpan w:val="2"/>
            <w:noWrap w:val="0"/>
            <w:vAlign w:val="top"/>
          </w:tcPr>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发生自然灾害，一次灾害过程出现或经会商研判可能出现下列情况之一的，启动三级响应：</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（1）死亡和失踪3人以上、10人以下；</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（2）紧急转移安置和需紧急生活救助2000人以上、5000人以下；</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（3）倒塌和严重损坏房屋500间或150户以上、1000间或300户以下；</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（4）干旱灾害造成缺粮或缺水等生活困难，需救助人数达3万人以上、8万人以下。</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（5）区防灾减灾救灾委员会研判认为需启动三级响应的其他情况。</w:t>
            </w:r>
          </w:p>
        </w:tc>
        <w:tc>
          <w:tcPr>
            <w:tcW w:w="3697" w:type="dxa"/>
            <w:gridSpan w:val="2"/>
            <w:noWrap w:val="0"/>
            <w:vAlign w:val="top"/>
          </w:tcPr>
          <w:p>
            <w:pPr>
              <w:adjustRightInd w:val="0"/>
              <w:snapToGrid w:val="0"/>
              <w:spacing w:line="320" w:lineRule="exact"/>
              <w:rPr>
                <w:rFonts w:hint="eastAsia" w:cs="方正仿宋_GBK"/>
                <w:color w:val="auto"/>
                <w:sz w:val="20"/>
              </w:rPr>
            </w:pPr>
            <w:r>
              <w:rPr>
                <w:rFonts w:hint="eastAsia" w:cs="方正仿宋_GBK"/>
                <w:color w:val="auto"/>
                <w:sz w:val="20"/>
              </w:rPr>
              <w:t>发生自然灾害，一次灾害过程出现或经会商研判可能出现下列情况之一的，启动二级响应：</w:t>
            </w:r>
          </w:p>
          <w:p>
            <w:pPr>
              <w:adjustRightInd w:val="0"/>
              <w:snapToGrid w:val="0"/>
              <w:spacing w:line="320" w:lineRule="exact"/>
              <w:rPr>
                <w:rFonts w:hint="eastAsia" w:cs="方正仿宋_GBK"/>
                <w:color w:val="auto"/>
                <w:sz w:val="20"/>
              </w:rPr>
            </w:pPr>
            <w:r>
              <w:rPr>
                <w:rFonts w:hint="eastAsia" w:cs="方正仿宋_GBK"/>
                <w:color w:val="auto"/>
                <w:sz w:val="20"/>
              </w:rPr>
              <w:t>（1）死亡和失踪10人以上、20人以下；</w:t>
            </w:r>
          </w:p>
          <w:p>
            <w:pPr>
              <w:adjustRightInd w:val="0"/>
              <w:snapToGrid w:val="0"/>
              <w:spacing w:line="320" w:lineRule="exact"/>
              <w:rPr>
                <w:rFonts w:hint="eastAsia" w:cs="方正仿宋_GBK"/>
                <w:color w:val="auto"/>
                <w:sz w:val="20"/>
              </w:rPr>
            </w:pPr>
            <w:r>
              <w:rPr>
                <w:rFonts w:hint="eastAsia" w:cs="方正仿宋_GBK"/>
                <w:color w:val="auto"/>
                <w:sz w:val="20"/>
              </w:rPr>
              <w:t>（2）紧急转移安置和需紧急生活救助5000人以上、1万人以下；</w:t>
            </w:r>
          </w:p>
          <w:p>
            <w:pPr>
              <w:adjustRightInd w:val="0"/>
              <w:snapToGrid w:val="0"/>
              <w:spacing w:line="320" w:lineRule="exact"/>
              <w:rPr>
                <w:rFonts w:hint="eastAsia" w:cs="方正仿宋_GBK"/>
                <w:color w:val="auto"/>
                <w:sz w:val="20"/>
              </w:rPr>
            </w:pPr>
            <w:r>
              <w:rPr>
                <w:rFonts w:hint="eastAsia" w:cs="方正仿宋_GBK"/>
                <w:color w:val="auto"/>
                <w:sz w:val="20"/>
              </w:rPr>
              <w:t>（3）倒塌和严重损坏房屋1000间或300户以上、2000间或600户以下；</w:t>
            </w:r>
          </w:p>
          <w:p>
            <w:pPr>
              <w:adjustRightInd w:val="0"/>
              <w:snapToGrid w:val="0"/>
              <w:spacing w:line="320" w:lineRule="exact"/>
              <w:rPr>
                <w:rFonts w:hint="eastAsia" w:cs="方正仿宋_GBK"/>
                <w:color w:val="auto"/>
                <w:sz w:val="20"/>
              </w:rPr>
            </w:pPr>
            <w:r>
              <w:rPr>
                <w:rFonts w:hint="eastAsia" w:cs="方正仿宋_GBK"/>
                <w:color w:val="auto"/>
                <w:sz w:val="20"/>
              </w:rPr>
              <w:t>（4）干旱灾害造成缺粮或缺水等生活困难，需救助人数达8万人以上、10万人以下。</w:t>
            </w:r>
          </w:p>
          <w:p>
            <w:pPr>
              <w:adjustRightInd w:val="0"/>
              <w:snapToGrid w:val="0"/>
              <w:spacing w:line="320" w:lineRule="exact"/>
              <w:rPr>
                <w:rFonts w:hint="eastAsia" w:cs="方正仿宋_GBK"/>
                <w:color w:val="auto"/>
                <w:sz w:val="20"/>
              </w:rPr>
            </w:pPr>
            <w:r>
              <w:rPr>
                <w:rFonts w:hint="eastAsia" w:cs="方正仿宋_GBK"/>
                <w:color w:val="auto"/>
                <w:sz w:val="20"/>
              </w:rPr>
              <w:t>（5）区防灾减灾救灾委员会研判认为需启动二级响应的其他情况。</w:t>
            </w:r>
          </w:p>
        </w:tc>
        <w:tc>
          <w:tcPr>
            <w:tcW w:w="3796" w:type="dxa"/>
            <w:gridSpan w:val="2"/>
            <w:noWrap w:val="0"/>
            <w:vAlign w:val="top"/>
          </w:tcPr>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发生自然灾害，一次灾害过程出现或经会商研判可能出现下列情况之一的，启动一级响应：</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（1）死亡和失踪20人以上；</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（2）紧急转移安置和需紧急生活救助1万人以上；</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（3）倒塌和严重损坏房屋2000间或600户以上；</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（4）干旱灾害造成缺粮或缺水等生活困难，需救助人数达10万人以上。</w:t>
            </w:r>
          </w:p>
          <w:p>
            <w:pPr>
              <w:adjustRightInd w:val="0"/>
              <w:snapToGrid w:val="0"/>
              <w:spacing w:line="320" w:lineRule="exact"/>
              <w:ind w:firstLine="200" w:firstLineChars="100"/>
              <w:rPr>
                <w:rFonts w:hint="eastAsia" w:cs="方正仿宋_GBK"/>
                <w:color w:val="auto"/>
                <w:sz w:val="20"/>
              </w:rPr>
            </w:pPr>
            <w:r>
              <w:rPr>
                <w:rFonts w:hint="eastAsia" w:cs="方正仿宋_GBK"/>
                <w:color w:val="auto"/>
                <w:sz w:val="20"/>
              </w:rPr>
              <w:t>（5）区防灾减灾救灾委员会研判认为需启动一级响应的其他情况。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blHeader/>
          <w:jc w:val="center"/>
        </w:trPr>
        <w:tc>
          <w:tcPr>
            <w:tcW w:w="1261" w:type="dxa"/>
            <w:noWrap w:val="0"/>
            <w:vAlign w:val="center"/>
          </w:tcPr>
          <w:p>
            <w:pPr>
              <w:adjustRightInd w:val="0"/>
              <w:snapToGrid w:val="0"/>
              <w:spacing w:line="320" w:lineRule="exact"/>
              <w:ind w:left="0" w:leftChars="0" w:firstLine="0" w:firstLineChars="0"/>
              <w:jc w:val="center"/>
              <w:rPr>
                <w:rFonts w:hint="eastAsia" w:hAnsi="宋体" w:eastAsia="方正黑体_GBK" w:cs="方正黑体_GBK"/>
                <w:color w:val="auto"/>
                <w:sz w:val="20"/>
              </w:rPr>
            </w:pPr>
            <w:r>
              <w:rPr>
                <w:rFonts w:hint="eastAsia" w:hAnsi="宋体" w:eastAsia="方正黑体_GBK" w:cs="方正黑体_GBK"/>
                <w:color w:val="auto"/>
                <w:sz w:val="20"/>
              </w:rPr>
              <w:t>响应启动</w:t>
            </w:r>
          </w:p>
          <w:p>
            <w:pPr>
              <w:adjustRightInd w:val="0"/>
              <w:snapToGrid w:val="0"/>
              <w:spacing w:line="320" w:lineRule="exact"/>
              <w:ind w:left="0" w:leftChars="0" w:firstLine="0" w:firstLineChars="0"/>
              <w:jc w:val="center"/>
              <w:rPr>
                <w:rFonts w:hint="eastAsia" w:eastAsia="方正黑体_GBK" w:cs="方正黑体_GBK"/>
                <w:color w:val="auto"/>
                <w:sz w:val="20"/>
              </w:rPr>
            </w:pPr>
            <w:r>
              <w:rPr>
                <w:rFonts w:hint="eastAsia" w:hAnsi="宋体" w:eastAsia="方正黑体_GBK" w:cs="方正黑体_GBK"/>
                <w:color w:val="auto"/>
                <w:sz w:val="20"/>
              </w:rPr>
              <w:t>条件</w:t>
            </w:r>
            <w:r>
              <w:rPr>
                <w:rFonts w:hint="eastAsia" w:hAnsi="宋体" w:eastAsia="方正黑体_GBK" w:cs="方正黑体_GBK"/>
                <w:color w:val="auto"/>
                <w:sz w:val="20"/>
                <w:lang w:eastAsia="zh-CN"/>
              </w:rPr>
              <w:t>（镇级）</w:t>
            </w:r>
          </w:p>
        </w:tc>
        <w:tc>
          <w:tcPr>
            <w:tcW w:w="3379" w:type="dxa"/>
            <w:gridSpan w:val="2"/>
            <w:noWrap w:val="0"/>
            <w:vAlign w:val="center"/>
          </w:tcPr>
          <w:p>
            <w:pPr>
              <w:adjustRightInd w:val="0"/>
              <w:snapToGrid w:val="0"/>
              <w:spacing w:line="320" w:lineRule="exact"/>
              <w:ind w:left="0" w:leftChars="0" w:firstLine="0" w:firstLineChars="0"/>
              <w:jc w:val="left"/>
              <w:rPr>
                <w:rFonts w:hint="eastAsia" w:cs="方正仿宋_GBK"/>
                <w:color w:val="auto"/>
                <w:sz w:val="20"/>
              </w:rPr>
            </w:pPr>
            <w:r>
              <w:rPr>
                <w:rFonts w:hint="eastAsia" w:hAnsi="宋体" w:cs="方正仿宋_GBK"/>
                <w:color w:val="auto"/>
                <w:sz w:val="20"/>
                <w:lang w:eastAsia="zh-CN"/>
              </w:rPr>
              <w:t>镇</w:t>
            </w:r>
            <w:r>
              <w:rPr>
                <w:rFonts w:hint="eastAsia" w:hAnsi="宋体" w:cs="方正仿宋_GBK"/>
                <w:color w:val="auto"/>
                <w:sz w:val="20"/>
              </w:rPr>
              <w:t>防灾减灾救灾委员会研判认为需启动</w:t>
            </w:r>
            <w:r>
              <w:rPr>
                <w:rFonts w:hint="eastAsia" w:hAnsi="宋体" w:cs="方正仿宋_GBK"/>
                <w:color w:val="auto"/>
                <w:sz w:val="20"/>
                <w:lang w:eastAsia="zh-CN"/>
              </w:rPr>
              <w:t>四</w:t>
            </w:r>
            <w:r>
              <w:rPr>
                <w:rFonts w:hint="eastAsia" w:hAnsi="宋体" w:cs="方正仿宋_GBK"/>
                <w:color w:val="auto"/>
                <w:sz w:val="20"/>
              </w:rPr>
              <w:t>级响应的其他情况。</w:t>
            </w:r>
          </w:p>
        </w:tc>
        <w:tc>
          <w:tcPr>
            <w:tcW w:w="3516" w:type="dxa"/>
            <w:gridSpan w:val="2"/>
            <w:noWrap w:val="0"/>
            <w:vAlign w:val="center"/>
          </w:tcPr>
          <w:p>
            <w:pPr>
              <w:adjustRightInd w:val="0"/>
              <w:snapToGrid w:val="0"/>
              <w:spacing w:line="320" w:lineRule="exact"/>
              <w:ind w:left="0" w:leftChars="0" w:firstLine="0" w:firstLineChars="0"/>
              <w:jc w:val="left"/>
              <w:rPr>
                <w:rFonts w:hint="eastAsia" w:cs="方正仿宋_GBK"/>
                <w:color w:val="auto"/>
                <w:sz w:val="20"/>
              </w:rPr>
            </w:pPr>
            <w:r>
              <w:rPr>
                <w:rFonts w:hint="eastAsia" w:hAnsi="宋体" w:cs="方正仿宋_GBK"/>
                <w:color w:val="auto"/>
                <w:sz w:val="20"/>
                <w:lang w:eastAsia="zh-CN"/>
              </w:rPr>
              <w:t>镇</w:t>
            </w:r>
            <w:r>
              <w:rPr>
                <w:rFonts w:hint="eastAsia" w:hAnsi="宋体" w:cs="方正仿宋_GBK"/>
                <w:color w:val="auto"/>
                <w:sz w:val="20"/>
              </w:rPr>
              <w:t>防灾减灾救灾委员会研判认为需启动</w:t>
            </w:r>
            <w:r>
              <w:rPr>
                <w:rFonts w:hint="eastAsia" w:hAnsi="宋体" w:cs="方正仿宋_GBK"/>
                <w:color w:val="auto"/>
                <w:sz w:val="20"/>
                <w:lang w:eastAsia="zh-CN"/>
              </w:rPr>
              <w:t>三</w:t>
            </w:r>
            <w:r>
              <w:rPr>
                <w:rFonts w:hint="eastAsia" w:hAnsi="宋体" w:cs="方正仿宋_GBK"/>
                <w:color w:val="auto"/>
                <w:sz w:val="20"/>
              </w:rPr>
              <w:t>级响应的其他情况。</w:t>
            </w:r>
          </w:p>
        </w:tc>
        <w:tc>
          <w:tcPr>
            <w:tcW w:w="3697" w:type="dxa"/>
            <w:gridSpan w:val="2"/>
            <w:noWrap w:val="0"/>
            <w:vAlign w:val="center"/>
          </w:tcPr>
          <w:p>
            <w:pPr>
              <w:adjustRightInd w:val="0"/>
              <w:snapToGrid w:val="0"/>
              <w:spacing w:line="320" w:lineRule="exact"/>
              <w:ind w:left="0" w:leftChars="0" w:firstLine="0" w:firstLineChars="0"/>
              <w:jc w:val="left"/>
              <w:rPr>
                <w:rFonts w:hint="eastAsia" w:cs="方正仿宋_GBK"/>
                <w:color w:val="auto"/>
                <w:sz w:val="20"/>
              </w:rPr>
            </w:pPr>
            <w:r>
              <w:rPr>
                <w:rFonts w:hint="eastAsia" w:hAnsi="宋体" w:cs="方正仿宋_GBK"/>
                <w:color w:val="auto"/>
                <w:sz w:val="20"/>
                <w:lang w:eastAsia="zh-CN"/>
              </w:rPr>
              <w:t>镇</w:t>
            </w:r>
            <w:r>
              <w:rPr>
                <w:rFonts w:hint="eastAsia" w:hAnsi="宋体" w:cs="方正仿宋_GBK"/>
                <w:color w:val="auto"/>
                <w:sz w:val="20"/>
              </w:rPr>
              <w:t>防灾减灾救灾委员会研判认为需启动</w:t>
            </w:r>
            <w:r>
              <w:rPr>
                <w:rFonts w:hint="eastAsia" w:hAnsi="宋体" w:cs="方正仿宋_GBK"/>
                <w:color w:val="auto"/>
                <w:sz w:val="20"/>
                <w:lang w:eastAsia="zh-CN"/>
              </w:rPr>
              <w:t>二</w:t>
            </w:r>
            <w:r>
              <w:rPr>
                <w:rFonts w:hint="eastAsia" w:hAnsi="宋体" w:cs="方正仿宋_GBK"/>
                <w:color w:val="auto"/>
                <w:sz w:val="20"/>
              </w:rPr>
              <w:t>级响应的其他情况。</w:t>
            </w:r>
          </w:p>
        </w:tc>
        <w:tc>
          <w:tcPr>
            <w:tcW w:w="3796" w:type="dxa"/>
            <w:gridSpan w:val="2"/>
            <w:noWrap w:val="0"/>
            <w:vAlign w:val="center"/>
          </w:tcPr>
          <w:p>
            <w:pPr>
              <w:adjustRightInd w:val="0"/>
              <w:snapToGrid w:val="0"/>
              <w:spacing w:line="320" w:lineRule="exact"/>
              <w:ind w:left="0" w:leftChars="0" w:firstLine="0" w:firstLineChars="0"/>
              <w:jc w:val="left"/>
              <w:rPr>
                <w:rFonts w:hint="eastAsia" w:cs="方正仿宋_GBK"/>
                <w:color w:val="auto"/>
                <w:sz w:val="20"/>
              </w:rPr>
            </w:pPr>
            <w:r>
              <w:rPr>
                <w:rFonts w:hint="eastAsia" w:hAnsi="宋体" w:cs="方正仿宋_GBK"/>
                <w:color w:val="auto"/>
                <w:sz w:val="20"/>
                <w:lang w:eastAsia="zh-CN"/>
              </w:rPr>
              <w:t>镇</w:t>
            </w:r>
            <w:r>
              <w:rPr>
                <w:rFonts w:hint="eastAsia" w:hAnsi="宋体" w:cs="方正仿宋_GBK"/>
                <w:color w:val="auto"/>
                <w:sz w:val="20"/>
              </w:rPr>
              <w:t>防灾减灾救灾委员会研判认为需启动</w:t>
            </w:r>
            <w:r>
              <w:rPr>
                <w:rFonts w:hint="eastAsia" w:hAnsi="宋体" w:cs="方正仿宋_GBK"/>
                <w:color w:val="auto"/>
                <w:sz w:val="20"/>
                <w:lang w:eastAsia="zh-CN"/>
              </w:rPr>
              <w:t>一</w:t>
            </w:r>
            <w:r>
              <w:rPr>
                <w:rFonts w:hint="eastAsia" w:hAnsi="宋体" w:cs="方正仿宋_GBK"/>
                <w:color w:val="auto"/>
                <w:sz w:val="20"/>
              </w:rPr>
              <w:t>级响应的其他情况。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blHeader/>
          <w:jc w:val="center"/>
        </w:trPr>
        <w:tc>
          <w:tcPr>
            <w:tcW w:w="1261" w:type="dxa"/>
            <w:noWrap w:val="0"/>
            <w:vAlign w:val="center"/>
          </w:tcPr>
          <w:p>
            <w:pPr>
              <w:spacing w:line="300" w:lineRule="exact"/>
              <w:ind w:left="0" w:leftChars="0" w:firstLine="0" w:firstLineChars="0"/>
              <w:jc w:val="both"/>
              <w:rPr>
                <w:rFonts w:hint="eastAsia" w:ascii="方正黑体_GBK" w:hAnsi="方正黑体_GBK" w:eastAsia="方正黑体_GBK" w:cs="方正黑体_GBK"/>
                <w:b/>
                <w:bCs/>
                <w:color w:val="auto"/>
                <w:sz w:val="24"/>
                <w:szCs w:val="24"/>
              </w:rPr>
            </w:pPr>
            <w:r>
              <w:rPr>
                <w:rFonts w:hint="eastAsia" w:ascii="方正黑体_GBK" w:hAnsi="方正黑体_GBK" w:eastAsia="方正黑体_GBK" w:cs="方正黑体_GBK"/>
                <w:color w:val="auto"/>
                <w:sz w:val="24"/>
                <w:szCs w:val="24"/>
              </w:rPr>
              <w:t>响应等级</w:t>
            </w:r>
          </w:p>
        </w:tc>
        <w:tc>
          <w:tcPr>
            <w:tcW w:w="3379" w:type="dxa"/>
            <w:gridSpan w:val="2"/>
            <w:noWrap w:val="0"/>
            <w:vAlign w:val="center"/>
          </w:tcPr>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bCs/>
                <w:color w:val="auto"/>
                <w:kern w:val="0"/>
                <w:sz w:val="24"/>
                <w:szCs w:val="24"/>
                <w:lang w:bidi="ar"/>
              </w:rPr>
              <w:t>四级响应</w:t>
            </w:r>
          </w:p>
        </w:tc>
        <w:tc>
          <w:tcPr>
            <w:tcW w:w="3516" w:type="dxa"/>
            <w:gridSpan w:val="2"/>
            <w:noWrap w:val="0"/>
            <w:vAlign w:val="center"/>
          </w:tcPr>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bCs/>
                <w:color w:val="auto"/>
                <w:kern w:val="0"/>
                <w:sz w:val="24"/>
                <w:szCs w:val="24"/>
                <w:lang w:bidi="ar"/>
              </w:rPr>
              <w:t>三级响应</w:t>
            </w:r>
          </w:p>
        </w:tc>
        <w:tc>
          <w:tcPr>
            <w:tcW w:w="3697" w:type="dxa"/>
            <w:gridSpan w:val="2"/>
            <w:noWrap w:val="0"/>
            <w:vAlign w:val="center"/>
          </w:tcPr>
          <w:p>
            <w:pPr>
              <w:spacing w:line="300" w:lineRule="exact"/>
              <w:jc w:val="center"/>
              <w:rPr>
                <w:rFonts w:hint="eastAsia" w:ascii="方正黑体_GBK" w:hAnsi="方正黑体_GBK" w:eastAsia="方正黑体_GBK" w:cs="方正黑体_GBK"/>
                <w:bCs/>
                <w:color w:val="auto"/>
                <w:kern w:val="0"/>
                <w:sz w:val="24"/>
                <w:szCs w:val="24"/>
                <w:lang w:bidi="ar"/>
              </w:rPr>
            </w:pPr>
            <w:r>
              <w:rPr>
                <w:rFonts w:hint="eastAsia" w:ascii="方正黑体_GBK" w:hAnsi="方正黑体_GBK" w:eastAsia="方正黑体_GBK" w:cs="方正黑体_GBK"/>
                <w:bCs/>
                <w:color w:val="auto"/>
                <w:kern w:val="0"/>
                <w:sz w:val="24"/>
                <w:szCs w:val="24"/>
                <w:lang w:bidi="ar"/>
              </w:rPr>
              <w:t>二级响应</w:t>
            </w:r>
          </w:p>
        </w:tc>
        <w:tc>
          <w:tcPr>
            <w:tcW w:w="3796" w:type="dxa"/>
            <w:gridSpan w:val="2"/>
            <w:noWrap w:val="0"/>
            <w:vAlign w:val="center"/>
          </w:tcPr>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bCs/>
                <w:color w:val="auto"/>
                <w:kern w:val="0"/>
                <w:sz w:val="24"/>
                <w:szCs w:val="24"/>
                <w:lang w:bidi="ar"/>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1261" w:type="dxa"/>
            <w:vMerge w:val="restart"/>
            <w:noWrap w:val="0"/>
            <w:vAlign w:val="center"/>
          </w:tcPr>
          <w:p>
            <w:pPr>
              <w:spacing w:line="300" w:lineRule="exact"/>
              <w:ind w:left="0" w:leftChars="0" w:firstLine="0" w:firstLineChars="0"/>
              <w:jc w:val="center"/>
              <w:rPr>
                <w:rFonts w:hint="eastAsia" w:eastAsia="宋体" w:cs="宋体"/>
                <w:b/>
                <w:bCs/>
                <w:color w:val="auto"/>
                <w:sz w:val="20"/>
                <w:lang w:val="en-US" w:eastAsia="zh-CN"/>
              </w:rPr>
            </w:pPr>
            <w:r>
              <w:rPr>
                <w:rFonts w:hint="eastAsia" w:eastAsia="宋体" w:cs="宋体"/>
                <w:b/>
                <w:bCs/>
                <w:color w:val="auto"/>
                <w:sz w:val="20"/>
                <w:lang w:val="en-US" w:eastAsia="zh-CN"/>
              </w:rPr>
              <w:t>镇级</w:t>
            </w:r>
          </w:p>
        </w:tc>
        <w:tc>
          <w:tcPr>
            <w:tcW w:w="1057"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事项</w:t>
            </w:r>
          </w:p>
        </w:tc>
        <w:tc>
          <w:tcPr>
            <w:tcW w:w="2322" w:type="dxa"/>
            <w:noWrap w:val="0"/>
            <w:vAlign w:val="center"/>
          </w:tcPr>
          <w:p>
            <w:pPr>
              <w:adjustRightInd w:val="0"/>
              <w:snapToGrid w:val="0"/>
              <w:spacing w:line="300" w:lineRule="exact"/>
              <w:jc w:val="center"/>
              <w:rPr>
                <w:rFonts w:hint="eastAsia" w:eastAsia="宋体" w:cs="宋体"/>
                <w:b/>
                <w:color w:val="auto"/>
                <w:kern w:val="0"/>
                <w:sz w:val="20"/>
                <w:lang w:bidi="ar"/>
              </w:rPr>
            </w:pPr>
            <w:r>
              <w:rPr>
                <w:rFonts w:hint="eastAsia" w:eastAsia="宋体" w:cs="宋体"/>
                <w:b/>
                <w:color w:val="auto"/>
                <w:kern w:val="0"/>
                <w:sz w:val="20"/>
                <w:lang w:bidi="ar"/>
              </w:rPr>
              <w:t>作战措施</w:t>
            </w:r>
          </w:p>
        </w:tc>
        <w:tc>
          <w:tcPr>
            <w:tcW w:w="989"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事项</w:t>
            </w:r>
          </w:p>
        </w:tc>
        <w:tc>
          <w:tcPr>
            <w:tcW w:w="2527" w:type="dxa"/>
            <w:noWrap w:val="0"/>
            <w:vAlign w:val="center"/>
          </w:tcPr>
          <w:p>
            <w:pPr>
              <w:adjustRightInd w:val="0"/>
              <w:snapToGrid w:val="0"/>
              <w:spacing w:line="300" w:lineRule="exact"/>
              <w:jc w:val="center"/>
              <w:rPr>
                <w:rFonts w:hint="eastAsia" w:eastAsia="宋体" w:cs="宋体"/>
                <w:b/>
                <w:color w:val="auto"/>
                <w:kern w:val="0"/>
                <w:sz w:val="20"/>
                <w:lang w:bidi="ar"/>
              </w:rPr>
            </w:pPr>
            <w:r>
              <w:rPr>
                <w:rFonts w:hint="eastAsia" w:eastAsia="宋体" w:cs="宋体"/>
                <w:b/>
                <w:color w:val="auto"/>
                <w:kern w:val="0"/>
                <w:sz w:val="20"/>
                <w:lang w:bidi="ar"/>
              </w:rPr>
              <w:t>作战措施</w:t>
            </w:r>
          </w:p>
        </w:tc>
        <w:tc>
          <w:tcPr>
            <w:tcW w:w="862"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事项</w:t>
            </w:r>
          </w:p>
        </w:tc>
        <w:tc>
          <w:tcPr>
            <w:tcW w:w="2835"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作战措施</w:t>
            </w:r>
          </w:p>
        </w:tc>
        <w:tc>
          <w:tcPr>
            <w:tcW w:w="1095"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事项</w:t>
            </w:r>
          </w:p>
        </w:tc>
        <w:tc>
          <w:tcPr>
            <w:tcW w:w="2701" w:type="dxa"/>
            <w:noWrap w:val="0"/>
            <w:vAlign w:val="center"/>
          </w:tcPr>
          <w:p>
            <w:pPr>
              <w:adjustRightInd w:val="0"/>
              <w:snapToGrid w:val="0"/>
              <w:spacing w:line="300" w:lineRule="exact"/>
              <w:jc w:val="center"/>
              <w:rPr>
                <w:rFonts w:hint="eastAsia" w:eastAsia="宋体" w:cs="宋体"/>
                <w:b/>
                <w:color w:val="auto"/>
                <w:kern w:val="0"/>
                <w:sz w:val="20"/>
                <w:lang w:bidi="ar"/>
              </w:rPr>
            </w:pPr>
            <w:r>
              <w:rPr>
                <w:rFonts w:hint="eastAsia" w:eastAsia="宋体" w:cs="宋体"/>
                <w:b/>
                <w:color w:val="auto"/>
                <w:kern w:val="0"/>
                <w:sz w:val="20"/>
                <w:lang w:bidi="ar"/>
              </w:rPr>
              <w:t>作战措施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blHeader/>
          <w:jc w:val="center"/>
        </w:trPr>
        <w:tc>
          <w:tcPr>
            <w:tcW w:w="1261" w:type="dxa"/>
            <w:vMerge w:val="continue"/>
            <w:noWrap w:val="0"/>
            <w:vAlign w:val="center"/>
          </w:tcPr>
          <w:p>
            <w:pPr>
              <w:spacing w:line="300" w:lineRule="exact"/>
              <w:jc w:val="center"/>
              <w:rPr>
                <w:rFonts w:hint="eastAsia" w:eastAsia="宋体" w:cs="宋体"/>
                <w:b/>
                <w:bCs/>
                <w:color w:val="auto"/>
                <w:sz w:val="20"/>
              </w:rPr>
            </w:pPr>
          </w:p>
        </w:tc>
        <w:tc>
          <w:tcPr>
            <w:tcW w:w="1057"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【统】                        组织指挥</w:t>
            </w:r>
          </w:p>
        </w:tc>
        <w:tc>
          <w:tcPr>
            <w:tcW w:w="2322" w:type="dxa"/>
            <w:noWrap w:val="0"/>
            <w:vAlign w:val="center"/>
          </w:tcPr>
          <w:p>
            <w:pPr>
              <w:adjustRightInd w:val="0"/>
              <w:snapToGrid w:val="0"/>
              <w:spacing w:line="300" w:lineRule="exact"/>
              <w:ind w:left="0" w:leftChars="0" w:firstLine="0" w:firstLineChars="0"/>
              <w:rPr>
                <w:rFonts w:hint="eastAsia" w:eastAsia="宋体" w:cs="宋体"/>
                <w:b/>
                <w:color w:val="auto"/>
                <w:sz w:val="20"/>
              </w:rPr>
            </w:pPr>
            <w:r>
              <w:rPr>
                <w:rFonts w:hint="eastAsia" w:eastAsia="宋体" w:cs="宋体"/>
                <w:color w:val="auto"/>
                <w:sz w:val="20"/>
              </w:rPr>
              <w:t>党政主要领导统一指挥。</w:t>
            </w:r>
          </w:p>
        </w:tc>
        <w:tc>
          <w:tcPr>
            <w:tcW w:w="989"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【统】                        组织指挥</w:t>
            </w:r>
          </w:p>
        </w:tc>
        <w:tc>
          <w:tcPr>
            <w:tcW w:w="2527" w:type="dxa"/>
            <w:noWrap w:val="0"/>
            <w:vAlign w:val="center"/>
          </w:tcPr>
          <w:p>
            <w:pPr>
              <w:adjustRightInd w:val="0"/>
              <w:snapToGrid w:val="0"/>
              <w:spacing w:line="300" w:lineRule="exact"/>
              <w:ind w:left="0" w:leftChars="0" w:firstLine="0" w:firstLineChars="0"/>
              <w:rPr>
                <w:rFonts w:hint="eastAsia" w:eastAsia="宋体" w:cs="宋体"/>
                <w:b/>
                <w:color w:val="auto"/>
                <w:sz w:val="20"/>
              </w:rPr>
            </w:pPr>
            <w:r>
              <w:rPr>
                <w:rFonts w:hint="eastAsia" w:eastAsia="宋体" w:cs="宋体"/>
                <w:color w:val="auto"/>
                <w:sz w:val="20"/>
              </w:rPr>
              <w:t>党政主要领导统一指挥。</w:t>
            </w:r>
          </w:p>
        </w:tc>
        <w:tc>
          <w:tcPr>
            <w:tcW w:w="862"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【统】                        组织指挥</w:t>
            </w:r>
          </w:p>
        </w:tc>
        <w:tc>
          <w:tcPr>
            <w:tcW w:w="2835" w:type="dxa"/>
            <w:noWrap w:val="0"/>
            <w:vAlign w:val="center"/>
          </w:tcPr>
          <w:p>
            <w:pPr>
              <w:adjustRightInd w:val="0"/>
              <w:snapToGrid w:val="0"/>
              <w:spacing w:line="300" w:lineRule="exact"/>
              <w:ind w:left="0" w:leftChars="0" w:firstLine="0" w:firstLineChars="0"/>
              <w:rPr>
                <w:rFonts w:hint="eastAsia" w:eastAsia="宋体" w:cs="宋体"/>
                <w:b/>
                <w:color w:val="auto"/>
                <w:sz w:val="20"/>
              </w:rPr>
            </w:pPr>
            <w:r>
              <w:rPr>
                <w:rFonts w:hint="eastAsia" w:eastAsia="宋体" w:cs="宋体"/>
                <w:color w:val="auto"/>
                <w:sz w:val="20"/>
              </w:rPr>
              <w:t>党政主要领导统一指挥。</w:t>
            </w:r>
          </w:p>
        </w:tc>
        <w:tc>
          <w:tcPr>
            <w:tcW w:w="1095"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【统】                        组织指挥</w:t>
            </w:r>
          </w:p>
        </w:tc>
        <w:tc>
          <w:tcPr>
            <w:tcW w:w="2701" w:type="dxa"/>
            <w:noWrap w:val="0"/>
            <w:vAlign w:val="center"/>
          </w:tcPr>
          <w:p>
            <w:pPr>
              <w:adjustRightInd w:val="0"/>
              <w:snapToGrid w:val="0"/>
              <w:spacing w:line="300" w:lineRule="exact"/>
              <w:ind w:left="0" w:leftChars="0" w:firstLine="0" w:firstLineChars="0"/>
              <w:rPr>
                <w:rFonts w:hint="eastAsia" w:eastAsia="宋体" w:cs="宋体"/>
                <w:b/>
                <w:color w:val="auto"/>
                <w:sz w:val="20"/>
              </w:rPr>
            </w:pPr>
            <w:r>
              <w:rPr>
                <w:rFonts w:hint="eastAsia" w:eastAsia="宋体" w:cs="宋体"/>
                <w:color w:val="auto"/>
                <w:sz w:val="20"/>
              </w:rPr>
              <w:t>党政主要领导统一指挥。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blHeader/>
          <w:jc w:val="center"/>
        </w:trPr>
        <w:tc>
          <w:tcPr>
            <w:tcW w:w="1261" w:type="dxa"/>
            <w:vMerge w:val="continue"/>
            <w:noWrap w:val="0"/>
            <w:vAlign w:val="center"/>
          </w:tcPr>
          <w:p>
            <w:pPr>
              <w:spacing w:line="300" w:lineRule="exact"/>
              <w:jc w:val="center"/>
              <w:rPr>
                <w:rFonts w:hint="eastAsia" w:eastAsia="宋体" w:cs="宋体"/>
                <w:b/>
                <w:bCs/>
                <w:color w:val="auto"/>
                <w:sz w:val="20"/>
              </w:rPr>
            </w:pPr>
          </w:p>
        </w:tc>
        <w:tc>
          <w:tcPr>
            <w:tcW w:w="1057"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【商】                        综合会商</w:t>
            </w:r>
          </w:p>
        </w:tc>
        <w:tc>
          <w:tcPr>
            <w:tcW w:w="2322" w:type="dxa"/>
            <w:noWrap w:val="0"/>
            <w:vAlign w:val="center"/>
          </w:tcPr>
          <w:p>
            <w:pPr>
              <w:adjustRightInd w:val="0"/>
              <w:snapToGrid w:val="0"/>
              <w:spacing w:line="300" w:lineRule="exact"/>
              <w:ind w:left="0" w:leftChars="0" w:firstLine="0" w:firstLineChars="0"/>
              <w:rPr>
                <w:rFonts w:hint="eastAsia" w:eastAsia="宋体" w:cs="宋体"/>
                <w:color w:val="auto"/>
                <w:kern w:val="0"/>
                <w:sz w:val="20"/>
                <w:lang w:bidi="ar"/>
              </w:rPr>
            </w:pPr>
            <w:r>
              <w:rPr>
                <w:rFonts w:hint="eastAsia" w:eastAsia="宋体" w:cs="宋体"/>
                <w:color w:val="auto"/>
                <w:sz w:val="20"/>
              </w:rPr>
              <w:t>分析研判灾情，制定救灾措施。</w:t>
            </w:r>
          </w:p>
        </w:tc>
        <w:tc>
          <w:tcPr>
            <w:tcW w:w="989"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【商】                        综合会商</w:t>
            </w:r>
          </w:p>
        </w:tc>
        <w:tc>
          <w:tcPr>
            <w:tcW w:w="2527" w:type="dxa"/>
            <w:noWrap w:val="0"/>
            <w:vAlign w:val="center"/>
          </w:tcPr>
          <w:p>
            <w:pPr>
              <w:adjustRightInd w:val="0"/>
              <w:snapToGrid w:val="0"/>
              <w:spacing w:line="300" w:lineRule="exact"/>
              <w:ind w:left="0" w:leftChars="0" w:firstLine="0" w:firstLineChars="0"/>
              <w:rPr>
                <w:rFonts w:hint="eastAsia" w:eastAsia="宋体" w:cs="宋体"/>
                <w:color w:val="auto"/>
                <w:kern w:val="0"/>
                <w:sz w:val="20"/>
                <w:lang w:bidi="ar"/>
              </w:rPr>
            </w:pPr>
            <w:r>
              <w:rPr>
                <w:rFonts w:hint="eastAsia" w:eastAsia="宋体" w:cs="宋体"/>
                <w:color w:val="auto"/>
                <w:sz w:val="20"/>
              </w:rPr>
              <w:t>分析研判灾情，制定救灾措施。</w:t>
            </w:r>
          </w:p>
        </w:tc>
        <w:tc>
          <w:tcPr>
            <w:tcW w:w="862"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【商】                        综合会商</w:t>
            </w:r>
          </w:p>
        </w:tc>
        <w:tc>
          <w:tcPr>
            <w:tcW w:w="2835" w:type="dxa"/>
            <w:noWrap w:val="0"/>
            <w:vAlign w:val="center"/>
          </w:tcPr>
          <w:p>
            <w:pPr>
              <w:adjustRightInd w:val="0"/>
              <w:snapToGrid w:val="0"/>
              <w:spacing w:line="300" w:lineRule="exact"/>
              <w:ind w:left="0" w:leftChars="0" w:firstLine="0" w:firstLineChars="0"/>
              <w:rPr>
                <w:rFonts w:hint="eastAsia" w:eastAsia="宋体" w:cs="宋体"/>
                <w:color w:val="auto"/>
                <w:kern w:val="0"/>
                <w:sz w:val="20"/>
                <w:lang w:bidi="ar"/>
              </w:rPr>
            </w:pPr>
            <w:r>
              <w:rPr>
                <w:rFonts w:hint="eastAsia" w:eastAsia="宋体" w:cs="宋体"/>
                <w:color w:val="auto"/>
                <w:sz w:val="20"/>
              </w:rPr>
              <w:t>分析研判灾情，制定救灾措施。</w:t>
            </w:r>
          </w:p>
        </w:tc>
        <w:tc>
          <w:tcPr>
            <w:tcW w:w="1095"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【商】                        综合会商</w:t>
            </w:r>
          </w:p>
        </w:tc>
        <w:tc>
          <w:tcPr>
            <w:tcW w:w="2701" w:type="dxa"/>
            <w:noWrap w:val="0"/>
            <w:vAlign w:val="center"/>
          </w:tcPr>
          <w:p>
            <w:pPr>
              <w:adjustRightInd w:val="0"/>
              <w:snapToGrid w:val="0"/>
              <w:spacing w:line="300" w:lineRule="exact"/>
              <w:ind w:left="0" w:leftChars="0" w:firstLine="0" w:firstLineChars="0"/>
              <w:rPr>
                <w:rFonts w:hint="eastAsia" w:eastAsia="宋体" w:cs="宋体"/>
                <w:color w:val="auto"/>
                <w:kern w:val="0"/>
                <w:sz w:val="20"/>
                <w:lang w:bidi="ar"/>
              </w:rPr>
            </w:pPr>
            <w:r>
              <w:rPr>
                <w:rFonts w:hint="eastAsia" w:eastAsia="宋体" w:cs="宋体"/>
                <w:color w:val="auto"/>
                <w:sz w:val="20"/>
              </w:rPr>
              <w:t>分析研判灾情，制定救灾措施。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5" w:hRule="atLeast"/>
          <w:tblHeader/>
          <w:jc w:val="center"/>
        </w:trPr>
        <w:tc>
          <w:tcPr>
            <w:tcW w:w="1261" w:type="dxa"/>
            <w:vMerge w:val="continue"/>
            <w:noWrap w:val="0"/>
            <w:vAlign w:val="center"/>
          </w:tcPr>
          <w:p>
            <w:pPr>
              <w:spacing w:line="300" w:lineRule="exact"/>
              <w:jc w:val="center"/>
              <w:rPr>
                <w:rFonts w:hint="eastAsia" w:eastAsia="宋体" w:cs="宋体"/>
                <w:b/>
                <w:bCs/>
                <w:color w:val="auto"/>
                <w:sz w:val="20"/>
              </w:rPr>
            </w:pPr>
          </w:p>
        </w:tc>
        <w:tc>
          <w:tcPr>
            <w:tcW w:w="1057" w:type="dxa"/>
            <w:noWrap w:val="0"/>
            <w:vAlign w:val="center"/>
          </w:tcPr>
          <w:p>
            <w:pPr>
              <w:adjustRightInd w:val="0"/>
              <w:snapToGrid w:val="0"/>
              <w:spacing w:line="300" w:lineRule="exact"/>
              <w:ind w:left="0" w:leftChars="0" w:firstLine="0" w:firstLineChars="0"/>
              <w:jc w:val="both"/>
              <w:rPr>
                <w:rFonts w:hint="eastAsia" w:eastAsia="宋体" w:cs="宋体"/>
                <w:b/>
                <w:color w:val="auto"/>
                <w:sz w:val="20"/>
              </w:rPr>
            </w:pPr>
            <w:r>
              <w:rPr>
                <w:rFonts w:hint="eastAsia" w:eastAsia="宋体" w:cs="宋体"/>
                <w:b/>
                <w:color w:val="auto"/>
                <w:kern w:val="0"/>
                <w:sz w:val="20"/>
                <w:lang w:bidi="ar"/>
              </w:rPr>
              <w:t>【转】                        转移安置</w:t>
            </w:r>
          </w:p>
        </w:tc>
        <w:tc>
          <w:tcPr>
            <w:tcW w:w="2322"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及时转移安置受威胁群众，保护重要目标。</w:t>
            </w:r>
          </w:p>
        </w:tc>
        <w:tc>
          <w:tcPr>
            <w:tcW w:w="989" w:type="dxa"/>
            <w:noWrap w:val="0"/>
            <w:vAlign w:val="center"/>
          </w:tcPr>
          <w:p>
            <w:pPr>
              <w:adjustRightInd w:val="0"/>
              <w:snapToGrid w:val="0"/>
              <w:spacing w:line="300" w:lineRule="exact"/>
              <w:ind w:left="0" w:leftChars="0" w:firstLine="0" w:firstLineChars="0"/>
              <w:jc w:val="both"/>
              <w:rPr>
                <w:rFonts w:hint="eastAsia" w:eastAsia="宋体" w:cs="宋体"/>
                <w:b/>
                <w:color w:val="auto"/>
                <w:sz w:val="20"/>
              </w:rPr>
            </w:pPr>
            <w:r>
              <w:rPr>
                <w:rFonts w:hint="eastAsia" w:eastAsia="宋体" w:cs="宋体"/>
                <w:b/>
                <w:color w:val="auto"/>
                <w:kern w:val="0"/>
                <w:sz w:val="20"/>
                <w:lang w:bidi="ar"/>
              </w:rPr>
              <w:t>【转】                        转移安置</w:t>
            </w:r>
          </w:p>
        </w:tc>
        <w:tc>
          <w:tcPr>
            <w:tcW w:w="2527"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及时转移安置受威胁群众，保护重要目标。</w:t>
            </w:r>
          </w:p>
        </w:tc>
        <w:tc>
          <w:tcPr>
            <w:tcW w:w="862" w:type="dxa"/>
            <w:noWrap w:val="0"/>
            <w:vAlign w:val="center"/>
          </w:tcPr>
          <w:p>
            <w:pPr>
              <w:adjustRightInd w:val="0"/>
              <w:snapToGrid w:val="0"/>
              <w:spacing w:line="300" w:lineRule="exact"/>
              <w:ind w:left="0" w:leftChars="0" w:firstLine="0" w:firstLineChars="0"/>
              <w:jc w:val="both"/>
              <w:rPr>
                <w:rFonts w:hint="eastAsia" w:eastAsia="宋体" w:cs="宋体"/>
                <w:b/>
                <w:color w:val="auto"/>
                <w:sz w:val="20"/>
              </w:rPr>
            </w:pPr>
            <w:r>
              <w:rPr>
                <w:rFonts w:hint="eastAsia" w:eastAsia="宋体" w:cs="宋体"/>
                <w:b/>
                <w:color w:val="auto"/>
                <w:kern w:val="0"/>
                <w:sz w:val="20"/>
                <w:lang w:bidi="ar"/>
              </w:rPr>
              <w:t>【转】                        转移安置</w:t>
            </w:r>
          </w:p>
        </w:tc>
        <w:tc>
          <w:tcPr>
            <w:tcW w:w="2835"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及时转移安置受威胁群众，保护重要目标。</w:t>
            </w:r>
          </w:p>
        </w:tc>
        <w:tc>
          <w:tcPr>
            <w:tcW w:w="1095" w:type="dxa"/>
            <w:noWrap w:val="0"/>
            <w:vAlign w:val="center"/>
          </w:tcPr>
          <w:p>
            <w:pPr>
              <w:adjustRightInd w:val="0"/>
              <w:snapToGrid w:val="0"/>
              <w:spacing w:line="300" w:lineRule="exact"/>
              <w:ind w:left="0" w:leftChars="0" w:firstLine="0" w:firstLineChars="0"/>
              <w:jc w:val="both"/>
              <w:rPr>
                <w:rFonts w:hint="eastAsia" w:eastAsia="宋体" w:cs="宋体"/>
                <w:b/>
                <w:color w:val="auto"/>
                <w:sz w:val="20"/>
              </w:rPr>
            </w:pPr>
            <w:r>
              <w:rPr>
                <w:rFonts w:hint="eastAsia" w:eastAsia="宋体" w:cs="宋体"/>
                <w:b/>
                <w:color w:val="auto"/>
                <w:kern w:val="0"/>
                <w:sz w:val="20"/>
                <w:lang w:bidi="ar"/>
              </w:rPr>
              <w:t>【转】                        转移安置</w:t>
            </w:r>
          </w:p>
        </w:tc>
        <w:tc>
          <w:tcPr>
            <w:tcW w:w="2701"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及时转移安置受威胁群众，保护重要目标。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1261" w:type="dxa"/>
            <w:vMerge w:val="continue"/>
            <w:noWrap w:val="0"/>
            <w:vAlign w:val="center"/>
          </w:tcPr>
          <w:p>
            <w:pPr>
              <w:spacing w:line="300" w:lineRule="exact"/>
              <w:jc w:val="center"/>
              <w:rPr>
                <w:rFonts w:hint="eastAsia" w:eastAsia="宋体" w:cs="宋体"/>
                <w:b/>
                <w:bCs/>
                <w:color w:val="auto"/>
                <w:sz w:val="20"/>
              </w:rPr>
            </w:pPr>
          </w:p>
        </w:tc>
        <w:tc>
          <w:tcPr>
            <w:tcW w:w="1057"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【调】                        物资调度</w:t>
            </w:r>
          </w:p>
        </w:tc>
        <w:tc>
          <w:tcPr>
            <w:tcW w:w="2322"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统筹调度应急、救灾物资送往灾区。</w:t>
            </w:r>
          </w:p>
        </w:tc>
        <w:tc>
          <w:tcPr>
            <w:tcW w:w="989"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【调】                        物资调度</w:t>
            </w:r>
          </w:p>
        </w:tc>
        <w:tc>
          <w:tcPr>
            <w:tcW w:w="2527"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统筹调度应急、救灾物资送往灾区。</w:t>
            </w:r>
          </w:p>
        </w:tc>
        <w:tc>
          <w:tcPr>
            <w:tcW w:w="862"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【调】                        物资调度</w:t>
            </w:r>
          </w:p>
        </w:tc>
        <w:tc>
          <w:tcPr>
            <w:tcW w:w="2835"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统筹调度应急、救灾物资送往灾区。</w:t>
            </w:r>
          </w:p>
        </w:tc>
        <w:tc>
          <w:tcPr>
            <w:tcW w:w="1095" w:type="dxa"/>
            <w:noWrap w:val="0"/>
            <w:vAlign w:val="center"/>
          </w:tcPr>
          <w:p>
            <w:pPr>
              <w:adjustRightInd w:val="0"/>
              <w:snapToGrid w:val="0"/>
              <w:spacing w:line="300" w:lineRule="exact"/>
              <w:ind w:left="0" w:leftChars="0" w:firstLine="0" w:firstLineChars="0"/>
              <w:jc w:val="both"/>
              <w:rPr>
                <w:rFonts w:hint="eastAsia" w:eastAsia="宋体" w:cs="宋体"/>
                <w:b/>
                <w:color w:val="auto"/>
                <w:kern w:val="0"/>
                <w:sz w:val="20"/>
                <w:lang w:bidi="ar"/>
              </w:rPr>
            </w:pPr>
            <w:r>
              <w:rPr>
                <w:rFonts w:hint="eastAsia" w:eastAsia="宋体" w:cs="宋体"/>
                <w:b/>
                <w:color w:val="auto"/>
                <w:kern w:val="0"/>
                <w:sz w:val="20"/>
                <w:lang w:bidi="ar"/>
              </w:rPr>
              <w:t>【调】                        物资调度</w:t>
            </w:r>
          </w:p>
        </w:tc>
        <w:tc>
          <w:tcPr>
            <w:tcW w:w="2701"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统筹调度应急、救灾物资送往灾区。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blHeader/>
          <w:jc w:val="center"/>
        </w:trPr>
        <w:tc>
          <w:tcPr>
            <w:tcW w:w="1261" w:type="dxa"/>
            <w:vMerge w:val="continue"/>
            <w:noWrap w:val="0"/>
            <w:vAlign w:val="center"/>
          </w:tcPr>
          <w:p>
            <w:pPr>
              <w:spacing w:line="300" w:lineRule="exact"/>
              <w:jc w:val="center"/>
              <w:rPr>
                <w:rFonts w:hint="eastAsia" w:eastAsia="宋体" w:cs="宋体"/>
                <w:b/>
                <w:bCs/>
                <w:color w:val="auto"/>
                <w:sz w:val="20"/>
              </w:rPr>
            </w:pPr>
          </w:p>
        </w:tc>
        <w:tc>
          <w:tcPr>
            <w:tcW w:w="1057" w:type="dxa"/>
            <w:noWrap w:val="0"/>
            <w:vAlign w:val="center"/>
          </w:tcPr>
          <w:p>
            <w:pPr>
              <w:adjustRightInd w:val="0"/>
              <w:snapToGrid w:val="0"/>
              <w:spacing w:line="300" w:lineRule="exact"/>
              <w:ind w:left="0" w:leftChars="0" w:firstLine="0" w:firstLineChars="0"/>
              <w:jc w:val="both"/>
              <w:rPr>
                <w:rFonts w:hint="eastAsia" w:eastAsia="宋体" w:cs="宋体"/>
                <w:b/>
                <w:color w:val="auto"/>
                <w:sz w:val="20"/>
              </w:rPr>
            </w:pPr>
            <w:r>
              <w:rPr>
                <w:rFonts w:hint="eastAsia" w:eastAsia="宋体" w:cs="宋体"/>
                <w:b/>
                <w:color w:val="auto"/>
                <w:kern w:val="0"/>
                <w:sz w:val="20"/>
                <w:lang w:bidi="ar"/>
              </w:rPr>
              <w:t>【值】                        值班值守</w:t>
            </w:r>
          </w:p>
        </w:tc>
        <w:tc>
          <w:tcPr>
            <w:tcW w:w="2322"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坐镇后方指挥部党政领导组织有关人员联合值守，收集汇总灾情应对情况，滚动上报；重要情况及时上报。</w:t>
            </w:r>
          </w:p>
        </w:tc>
        <w:tc>
          <w:tcPr>
            <w:tcW w:w="989" w:type="dxa"/>
            <w:noWrap w:val="0"/>
            <w:vAlign w:val="center"/>
          </w:tcPr>
          <w:p>
            <w:pPr>
              <w:adjustRightInd w:val="0"/>
              <w:snapToGrid w:val="0"/>
              <w:spacing w:line="300" w:lineRule="exact"/>
              <w:ind w:left="0" w:leftChars="0" w:firstLine="0" w:firstLineChars="0"/>
              <w:jc w:val="both"/>
              <w:rPr>
                <w:rFonts w:hint="eastAsia" w:eastAsia="宋体" w:cs="宋体"/>
                <w:b/>
                <w:color w:val="auto"/>
                <w:sz w:val="20"/>
              </w:rPr>
            </w:pPr>
            <w:r>
              <w:rPr>
                <w:rFonts w:hint="eastAsia" w:eastAsia="宋体" w:cs="宋体"/>
                <w:b/>
                <w:color w:val="auto"/>
                <w:kern w:val="0"/>
                <w:sz w:val="20"/>
                <w:lang w:bidi="ar"/>
              </w:rPr>
              <w:t>【值】                        值班值守</w:t>
            </w:r>
          </w:p>
        </w:tc>
        <w:tc>
          <w:tcPr>
            <w:tcW w:w="2527"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坐镇后方指挥部党政领导组织有关人员联合值守，收集汇总灾情应对情况，滚动上报；重要情况及时上报。</w:t>
            </w:r>
          </w:p>
        </w:tc>
        <w:tc>
          <w:tcPr>
            <w:tcW w:w="862" w:type="dxa"/>
            <w:noWrap w:val="0"/>
            <w:vAlign w:val="center"/>
          </w:tcPr>
          <w:p>
            <w:pPr>
              <w:adjustRightInd w:val="0"/>
              <w:snapToGrid w:val="0"/>
              <w:spacing w:line="300" w:lineRule="exact"/>
              <w:ind w:left="0" w:leftChars="0" w:firstLine="0" w:firstLineChars="0"/>
              <w:jc w:val="both"/>
              <w:rPr>
                <w:rFonts w:hint="eastAsia" w:eastAsia="宋体" w:cs="宋体"/>
                <w:b/>
                <w:color w:val="auto"/>
                <w:sz w:val="20"/>
              </w:rPr>
            </w:pPr>
            <w:r>
              <w:rPr>
                <w:rFonts w:hint="eastAsia" w:eastAsia="宋体" w:cs="宋体"/>
                <w:b/>
                <w:color w:val="auto"/>
                <w:kern w:val="0"/>
                <w:sz w:val="20"/>
                <w:lang w:bidi="ar"/>
              </w:rPr>
              <w:t>【值】                        值班值守</w:t>
            </w:r>
          </w:p>
        </w:tc>
        <w:tc>
          <w:tcPr>
            <w:tcW w:w="2835"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坐镇后方指挥部党政领导组织有关人员联合值守，收集汇总灾情应对情况，滚动上报；重要情况及时上报。</w:t>
            </w:r>
          </w:p>
        </w:tc>
        <w:tc>
          <w:tcPr>
            <w:tcW w:w="1095" w:type="dxa"/>
            <w:noWrap w:val="0"/>
            <w:vAlign w:val="center"/>
          </w:tcPr>
          <w:p>
            <w:pPr>
              <w:adjustRightInd w:val="0"/>
              <w:snapToGrid w:val="0"/>
              <w:spacing w:line="300" w:lineRule="exact"/>
              <w:ind w:left="0" w:leftChars="0" w:firstLine="0" w:firstLineChars="0"/>
              <w:jc w:val="both"/>
              <w:rPr>
                <w:rFonts w:hint="eastAsia" w:eastAsia="宋体" w:cs="宋体"/>
                <w:b/>
                <w:color w:val="auto"/>
                <w:sz w:val="20"/>
              </w:rPr>
            </w:pPr>
            <w:r>
              <w:rPr>
                <w:rFonts w:hint="eastAsia" w:eastAsia="宋体" w:cs="宋体"/>
                <w:b/>
                <w:color w:val="auto"/>
                <w:kern w:val="0"/>
                <w:sz w:val="20"/>
                <w:lang w:bidi="ar"/>
              </w:rPr>
              <w:t>【值】                        值班值守</w:t>
            </w:r>
          </w:p>
        </w:tc>
        <w:tc>
          <w:tcPr>
            <w:tcW w:w="2701" w:type="dxa"/>
            <w:noWrap w:val="0"/>
            <w:vAlign w:val="center"/>
          </w:tcPr>
          <w:p>
            <w:pPr>
              <w:adjustRightInd w:val="0"/>
              <w:snapToGrid w:val="0"/>
              <w:spacing w:line="300" w:lineRule="exact"/>
              <w:ind w:left="0" w:leftChars="0" w:firstLine="0" w:firstLineChars="0"/>
              <w:rPr>
                <w:rFonts w:hint="eastAsia" w:eastAsia="宋体" w:cs="宋体"/>
                <w:color w:val="auto"/>
                <w:sz w:val="20"/>
              </w:rPr>
            </w:pPr>
            <w:r>
              <w:rPr>
                <w:rFonts w:hint="eastAsia" w:eastAsia="宋体" w:cs="宋体"/>
                <w:color w:val="auto"/>
                <w:sz w:val="20"/>
              </w:rPr>
              <w:t>坐镇后方指挥部党政领导组织有关人员联合值守，收集汇总灾情应对情况，滚动上报；重要情况及时上报。</w:t>
            </w:r>
          </w:p>
        </w:tc>
      </w:tr>
    </w:tbl>
    <w:p>
      <w:pPr>
        <w:ind w:firstLine="0" w:firstLineChars="0"/>
        <w:rPr>
          <w:rFonts w:ascii="Times New Roman" w:hAnsi="Times New Roman" w:cs="Times New Roman"/>
          <w:color w:val="auto"/>
        </w:rPr>
        <w:sectPr>
          <w:pgSz w:w="16838" w:h="11906" w:orient="landscape"/>
          <w:pgMar w:top="1446" w:right="1984" w:bottom="1446" w:left="1644" w:header="851" w:footer="1474" w:gutter="0"/>
          <w:paperSrc/>
          <w:pgNumType w:fmt="numberInDash"/>
          <w:cols w:space="720" w:num="1"/>
          <w:rtlGutter w:val="0"/>
          <w:docGrid w:type="lines" w:linePitch="450" w:charSpace="0"/>
        </w:sectPr>
      </w:pPr>
    </w:p>
    <w:p>
      <w:pPr>
        <w:spacing w:line="600" w:lineRule="exact"/>
        <w:ind w:firstLine="0" w:firstLineChars="0"/>
        <w:jc w:val="center"/>
        <w:rPr>
          <w:rFonts w:ascii="Times New Roman"/>
          <w:color w:val="auto"/>
        </w:rPr>
      </w:pPr>
    </w:p>
    <w:bookmarkEnd w:id="14"/>
    <w:sectPr>
      <w:footerReference r:id="rId7" w:type="default"/>
      <w:footerReference r:id="rId8" w:type="even"/>
      <w:pgSz w:w="16838" w:h="11906" w:orient="landscape"/>
      <w:pgMar w:top="1446" w:right="1984" w:bottom="1446" w:left="1644" w:header="851" w:footer="1474" w:gutter="0"/>
      <w:paperSrc/>
      <w:pgNumType w:fmt="numberInDash"/>
      <w:cols w:space="720" w:num="1"/>
      <w:rtlGutter w:val="0"/>
      <w:docGrid w:type="lines" w:linePitch="45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Cambria">
    <w:altName w:val="FreeSerif"/>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A00002EF" w:usb1="4000207B" w:usb2="00000000" w:usb3="00000000" w:csb0="0000019F" w:csb1="00000000"/>
  </w:font>
  <w:font w:name="Helvetica">
    <w:altName w:val="Liberation Sans"/>
    <w:panose1 w:val="020B0604020202020204"/>
    <w:charset w:val="00"/>
    <w:family w:val="swiss"/>
    <w:pitch w:val="default"/>
    <w:sig w:usb0="00000003"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0" w:firstLineChars="0"/>
      <w:rPr>
        <w:rStyle w:val="18"/>
        <w:rFonts w:ascii="Times New Roman" w:hAnsi="Times New Roman" w:cs="Times New Roman"/>
        <w:sz w:val="28"/>
        <w:szCs w:val="28"/>
      </w:rPr>
    </w:pPr>
    <w:r>
      <w:rPr>
        <w:rStyle w:val="18"/>
        <w:rFonts w:ascii="Times New Roman" w:hAnsi="Times New Roman" w:cs="Times New Roman"/>
        <w:sz w:val="28"/>
        <w:szCs w:val="28"/>
      </w:rPr>
      <w:fldChar w:fldCharType="begin"/>
    </w:r>
    <w:r>
      <w:rPr>
        <w:rStyle w:val="18"/>
        <w:rFonts w:ascii="Times New Roman" w:hAnsi="Times New Roman" w:cs="Times New Roman"/>
        <w:sz w:val="28"/>
        <w:szCs w:val="28"/>
      </w:rPr>
      <w:instrText xml:space="preserve">PAGE  </w:instrText>
    </w:r>
    <w:r>
      <w:rPr>
        <w:rStyle w:val="18"/>
        <w:rFonts w:ascii="Times New Roman" w:hAnsi="Times New Roman" w:cs="Times New Roman"/>
        <w:sz w:val="28"/>
        <w:szCs w:val="28"/>
      </w:rPr>
      <w:fldChar w:fldCharType="separate"/>
    </w:r>
    <w:r>
      <w:rPr>
        <w:rStyle w:val="18"/>
        <w:rFonts w:ascii="Times New Roman" w:hAnsi="Times New Roman" w:cs="Times New Roman"/>
        <w:sz w:val="28"/>
        <w:szCs w:val="28"/>
        <w:lang/>
      </w:rPr>
      <w:t>- 5 -</w:t>
    </w:r>
    <w:r>
      <w:rPr>
        <w:rStyle w:val="18"/>
        <w:rFonts w:ascii="Times New Roman" w:hAnsi="Times New Roman" w:cs="Times New Roman"/>
        <w:sz w:val="28"/>
        <w:szCs w:val="28"/>
      </w:rPr>
      <w:fldChar w:fldCharType="end"/>
    </w:r>
  </w:p>
  <w:p>
    <w:pPr>
      <w:pStyle w:val="10"/>
      <w:ind w:right="360" w:firstLine="36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560"/>
      <w:rPr>
        <w:rStyle w:val="18"/>
        <w:sz w:val="28"/>
        <w:szCs w:val="28"/>
      </w:rPr>
    </w:pP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lang/>
      </w:rPr>
      <w:t>- 36 -</w:t>
    </w:r>
    <w:r>
      <w:rPr>
        <w:rStyle w:val="18"/>
        <w:sz w:val="28"/>
        <w:szCs w:val="28"/>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360"/>
      <w:rPr>
        <w:rStyle w:val="18"/>
      </w:rPr>
    </w:pPr>
    <w:r>
      <w:rPr>
        <w:rStyle w:val="18"/>
      </w:rPr>
      <w:fldChar w:fldCharType="begin"/>
    </w:r>
    <w:r>
      <w:rPr>
        <w:rStyle w:val="18"/>
      </w:rPr>
      <w:instrText xml:space="preserve">PAGE  </w:instrText>
    </w:r>
    <w:r>
      <w:rPr>
        <w:rStyle w:val="18"/>
      </w:rPr>
      <w:fldChar w:fldCharType="end"/>
    </w:r>
  </w:p>
  <w:p>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22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jhkOWZhYzAzMmE1OTI1MDJlODRkMzkyY2ViYmIifQ=="/>
  </w:docVars>
  <w:rsids>
    <w:rsidRoot w:val="3C85073C"/>
    <w:rsid w:val="00007700"/>
    <w:rsid w:val="00012FC7"/>
    <w:rsid w:val="00013707"/>
    <w:rsid w:val="0001688D"/>
    <w:rsid w:val="00042D0B"/>
    <w:rsid w:val="0006332A"/>
    <w:rsid w:val="000740DB"/>
    <w:rsid w:val="000841D7"/>
    <w:rsid w:val="0008782A"/>
    <w:rsid w:val="000E6C7D"/>
    <w:rsid w:val="000E7681"/>
    <w:rsid w:val="000F184E"/>
    <w:rsid w:val="00125A87"/>
    <w:rsid w:val="0013095C"/>
    <w:rsid w:val="00171642"/>
    <w:rsid w:val="00174071"/>
    <w:rsid w:val="00176C6B"/>
    <w:rsid w:val="001C2493"/>
    <w:rsid w:val="001C3B93"/>
    <w:rsid w:val="001E3D6A"/>
    <w:rsid w:val="002026B3"/>
    <w:rsid w:val="00221286"/>
    <w:rsid w:val="0023350F"/>
    <w:rsid w:val="00245B27"/>
    <w:rsid w:val="002827B1"/>
    <w:rsid w:val="002B20B3"/>
    <w:rsid w:val="002C1A39"/>
    <w:rsid w:val="002C3B39"/>
    <w:rsid w:val="002D34DA"/>
    <w:rsid w:val="002E5E5D"/>
    <w:rsid w:val="002F6FD0"/>
    <w:rsid w:val="003273AF"/>
    <w:rsid w:val="00327C17"/>
    <w:rsid w:val="0036419E"/>
    <w:rsid w:val="003B771F"/>
    <w:rsid w:val="003C5C49"/>
    <w:rsid w:val="003D2052"/>
    <w:rsid w:val="003F72C3"/>
    <w:rsid w:val="00435B99"/>
    <w:rsid w:val="00444FF5"/>
    <w:rsid w:val="00447276"/>
    <w:rsid w:val="004D7F84"/>
    <w:rsid w:val="0050721F"/>
    <w:rsid w:val="005362CF"/>
    <w:rsid w:val="00560441"/>
    <w:rsid w:val="005970BB"/>
    <w:rsid w:val="005B3B9A"/>
    <w:rsid w:val="005F5A4A"/>
    <w:rsid w:val="00632D0D"/>
    <w:rsid w:val="006420C1"/>
    <w:rsid w:val="00654915"/>
    <w:rsid w:val="00661BC9"/>
    <w:rsid w:val="00661DC3"/>
    <w:rsid w:val="006737E7"/>
    <w:rsid w:val="006756F4"/>
    <w:rsid w:val="006A398D"/>
    <w:rsid w:val="006C0522"/>
    <w:rsid w:val="006C4180"/>
    <w:rsid w:val="006D444C"/>
    <w:rsid w:val="006F0786"/>
    <w:rsid w:val="006F4203"/>
    <w:rsid w:val="007034C9"/>
    <w:rsid w:val="0072067D"/>
    <w:rsid w:val="007339FF"/>
    <w:rsid w:val="00763BBD"/>
    <w:rsid w:val="0079422E"/>
    <w:rsid w:val="007A0621"/>
    <w:rsid w:val="007A0A95"/>
    <w:rsid w:val="007C5A7B"/>
    <w:rsid w:val="007D1A03"/>
    <w:rsid w:val="007D7AF2"/>
    <w:rsid w:val="00830441"/>
    <w:rsid w:val="0083585D"/>
    <w:rsid w:val="0085022D"/>
    <w:rsid w:val="0086203B"/>
    <w:rsid w:val="0087176B"/>
    <w:rsid w:val="0088506F"/>
    <w:rsid w:val="00887ED1"/>
    <w:rsid w:val="00893C50"/>
    <w:rsid w:val="008A0232"/>
    <w:rsid w:val="008A13AE"/>
    <w:rsid w:val="008A3409"/>
    <w:rsid w:val="008A4105"/>
    <w:rsid w:val="008C2861"/>
    <w:rsid w:val="008C5953"/>
    <w:rsid w:val="008D0245"/>
    <w:rsid w:val="008F38B9"/>
    <w:rsid w:val="009379A2"/>
    <w:rsid w:val="00962EB9"/>
    <w:rsid w:val="009676CE"/>
    <w:rsid w:val="009767FB"/>
    <w:rsid w:val="009828BA"/>
    <w:rsid w:val="009B3D15"/>
    <w:rsid w:val="009C2078"/>
    <w:rsid w:val="009D73C0"/>
    <w:rsid w:val="009E195F"/>
    <w:rsid w:val="009F5DF2"/>
    <w:rsid w:val="00A00992"/>
    <w:rsid w:val="00A039E0"/>
    <w:rsid w:val="00A07671"/>
    <w:rsid w:val="00A2518A"/>
    <w:rsid w:val="00A70224"/>
    <w:rsid w:val="00A820C6"/>
    <w:rsid w:val="00A92C8A"/>
    <w:rsid w:val="00AA52EC"/>
    <w:rsid w:val="00AA5AD0"/>
    <w:rsid w:val="00AB75F0"/>
    <w:rsid w:val="00AC7FF0"/>
    <w:rsid w:val="00AF45A1"/>
    <w:rsid w:val="00B02E3B"/>
    <w:rsid w:val="00B04B86"/>
    <w:rsid w:val="00B2648C"/>
    <w:rsid w:val="00B47650"/>
    <w:rsid w:val="00B67463"/>
    <w:rsid w:val="00B806C7"/>
    <w:rsid w:val="00B807E2"/>
    <w:rsid w:val="00B95B13"/>
    <w:rsid w:val="00BA1ACF"/>
    <w:rsid w:val="00BC1530"/>
    <w:rsid w:val="00BC4CEC"/>
    <w:rsid w:val="00C01345"/>
    <w:rsid w:val="00C01F37"/>
    <w:rsid w:val="00C22D2D"/>
    <w:rsid w:val="00C247A0"/>
    <w:rsid w:val="00C52896"/>
    <w:rsid w:val="00C53FF0"/>
    <w:rsid w:val="00C552A0"/>
    <w:rsid w:val="00C727F7"/>
    <w:rsid w:val="00C7339F"/>
    <w:rsid w:val="00C81620"/>
    <w:rsid w:val="00CF53E2"/>
    <w:rsid w:val="00D04B74"/>
    <w:rsid w:val="00D1331E"/>
    <w:rsid w:val="00D77A30"/>
    <w:rsid w:val="00D8661A"/>
    <w:rsid w:val="00DA2C58"/>
    <w:rsid w:val="00DA3DBD"/>
    <w:rsid w:val="00DA5AD2"/>
    <w:rsid w:val="00DB03D9"/>
    <w:rsid w:val="00DE30EF"/>
    <w:rsid w:val="00DF455C"/>
    <w:rsid w:val="00E12208"/>
    <w:rsid w:val="00E535D0"/>
    <w:rsid w:val="00E6357A"/>
    <w:rsid w:val="00E90DDB"/>
    <w:rsid w:val="00EA3249"/>
    <w:rsid w:val="00EA53FD"/>
    <w:rsid w:val="00EE11EE"/>
    <w:rsid w:val="00EE58BC"/>
    <w:rsid w:val="00EF6227"/>
    <w:rsid w:val="00F0445B"/>
    <w:rsid w:val="00F21FDE"/>
    <w:rsid w:val="00F36312"/>
    <w:rsid w:val="00F52FAE"/>
    <w:rsid w:val="00F571C6"/>
    <w:rsid w:val="00F66B2A"/>
    <w:rsid w:val="00F800AA"/>
    <w:rsid w:val="00F902B7"/>
    <w:rsid w:val="00F90552"/>
    <w:rsid w:val="00FA2E0D"/>
    <w:rsid w:val="00FB78EE"/>
    <w:rsid w:val="00FC0BA8"/>
    <w:rsid w:val="00FC10A2"/>
    <w:rsid w:val="00FC7CD8"/>
    <w:rsid w:val="00FF02E1"/>
    <w:rsid w:val="00FF522A"/>
    <w:rsid w:val="01505F15"/>
    <w:rsid w:val="01A52705"/>
    <w:rsid w:val="02630E25"/>
    <w:rsid w:val="02940EEB"/>
    <w:rsid w:val="02A209F3"/>
    <w:rsid w:val="02AE55E9"/>
    <w:rsid w:val="02DF57A3"/>
    <w:rsid w:val="02E01C88"/>
    <w:rsid w:val="033F6241"/>
    <w:rsid w:val="038C496D"/>
    <w:rsid w:val="039975BA"/>
    <w:rsid w:val="039E4D7D"/>
    <w:rsid w:val="03D07D3E"/>
    <w:rsid w:val="04057A3C"/>
    <w:rsid w:val="04802CB8"/>
    <w:rsid w:val="0486352A"/>
    <w:rsid w:val="050C2C6B"/>
    <w:rsid w:val="05126ADD"/>
    <w:rsid w:val="05264051"/>
    <w:rsid w:val="0532605E"/>
    <w:rsid w:val="05AB5E10"/>
    <w:rsid w:val="05C313AC"/>
    <w:rsid w:val="05CA41EF"/>
    <w:rsid w:val="06325012"/>
    <w:rsid w:val="066B252F"/>
    <w:rsid w:val="06757435"/>
    <w:rsid w:val="069B5E85"/>
    <w:rsid w:val="06E63B04"/>
    <w:rsid w:val="06FD08ED"/>
    <w:rsid w:val="07E01C01"/>
    <w:rsid w:val="08A96637"/>
    <w:rsid w:val="09510A7C"/>
    <w:rsid w:val="097906FF"/>
    <w:rsid w:val="0A0A0AC9"/>
    <w:rsid w:val="0A1E4E03"/>
    <w:rsid w:val="0A991003"/>
    <w:rsid w:val="0ABF51EF"/>
    <w:rsid w:val="0B293767"/>
    <w:rsid w:val="0B3E2538"/>
    <w:rsid w:val="0B6B4077"/>
    <w:rsid w:val="0B9C2483"/>
    <w:rsid w:val="0BA615A4"/>
    <w:rsid w:val="0BB7550F"/>
    <w:rsid w:val="0C3C77C2"/>
    <w:rsid w:val="0C7A0497"/>
    <w:rsid w:val="0CA06F32"/>
    <w:rsid w:val="0CA530C7"/>
    <w:rsid w:val="0CBF09F7"/>
    <w:rsid w:val="0D5A3E7F"/>
    <w:rsid w:val="0D927FE1"/>
    <w:rsid w:val="0DE80EEB"/>
    <w:rsid w:val="0DFC0E60"/>
    <w:rsid w:val="0E230C39"/>
    <w:rsid w:val="0F03171B"/>
    <w:rsid w:val="0F563654"/>
    <w:rsid w:val="0FB52A81"/>
    <w:rsid w:val="0FE752F9"/>
    <w:rsid w:val="10985D4B"/>
    <w:rsid w:val="10D95F27"/>
    <w:rsid w:val="11297033"/>
    <w:rsid w:val="11380EA0"/>
    <w:rsid w:val="120D5445"/>
    <w:rsid w:val="121448B8"/>
    <w:rsid w:val="124B684D"/>
    <w:rsid w:val="13193A1D"/>
    <w:rsid w:val="13727EBE"/>
    <w:rsid w:val="13940C6E"/>
    <w:rsid w:val="139C36EF"/>
    <w:rsid w:val="13A944DE"/>
    <w:rsid w:val="145968AE"/>
    <w:rsid w:val="14776C9F"/>
    <w:rsid w:val="14E426FB"/>
    <w:rsid w:val="154D2A40"/>
    <w:rsid w:val="15A8567A"/>
    <w:rsid w:val="16C25839"/>
    <w:rsid w:val="16F435E1"/>
    <w:rsid w:val="17247D69"/>
    <w:rsid w:val="175A6092"/>
    <w:rsid w:val="176F1DA7"/>
    <w:rsid w:val="17B77AB2"/>
    <w:rsid w:val="18A34E34"/>
    <w:rsid w:val="18F919C7"/>
    <w:rsid w:val="19046B90"/>
    <w:rsid w:val="194D5FD2"/>
    <w:rsid w:val="1970311C"/>
    <w:rsid w:val="1A807414"/>
    <w:rsid w:val="1AF14AB3"/>
    <w:rsid w:val="1B3647EC"/>
    <w:rsid w:val="1B4641B9"/>
    <w:rsid w:val="1BCC2630"/>
    <w:rsid w:val="1BE449D9"/>
    <w:rsid w:val="1C240060"/>
    <w:rsid w:val="1C5237EF"/>
    <w:rsid w:val="1CB87339"/>
    <w:rsid w:val="1D0A3B7C"/>
    <w:rsid w:val="1DD31068"/>
    <w:rsid w:val="1E0D28B6"/>
    <w:rsid w:val="1E1F222A"/>
    <w:rsid w:val="1E621A07"/>
    <w:rsid w:val="1E6B4AD5"/>
    <w:rsid w:val="1E8079E2"/>
    <w:rsid w:val="1EAF2075"/>
    <w:rsid w:val="1F2814B3"/>
    <w:rsid w:val="1F7C63FB"/>
    <w:rsid w:val="1FF14B01"/>
    <w:rsid w:val="20360CA0"/>
    <w:rsid w:val="205E6712"/>
    <w:rsid w:val="207417C9"/>
    <w:rsid w:val="20CE6392"/>
    <w:rsid w:val="21141DD0"/>
    <w:rsid w:val="215E3DEE"/>
    <w:rsid w:val="21640918"/>
    <w:rsid w:val="222F4AEF"/>
    <w:rsid w:val="22A10DB6"/>
    <w:rsid w:val="22B82AAA"/>
    <w:rsid w:val="22D724A9"/>
    <w:rsid w:val="23503E27"/>
    <w:rsid w:val="23B83266"/>
    <w:rsid w:val="23D1216B"/>
    <w:rsid w:val="244558F0"/>
    <w:rsid w:val="248B49AD"/>
    <w:rsid w:val="24BA403B"/>
    <w:rsid w:val="24D37D2A"/>
    <w:rsid w:val="24DB5714"/>
    <w:rsid w:val="25341526"/>
    <w:rsid w:val="255B2F57"/>
    <w:rsid w:val="25AE42AC"/>
    <w:rsid w:val="25C07367"/>
    <w:rsid w:val="26401D76"/>
    <w:rsid w:val="26790659"/>
    <w:rsid w:val="26BD0AC1"/>
    <w:rsid w:val="279664C8"/>
    <w:rsid w:val="28101DD7"/>
    <w:rsid w:val="28801E23"/>
    <w:rsid w:val="2895052E"/>
    <w:rsid w:val="290D12D5"/>
    <w:rsid w:val="295039FA"/>
    <w:rsid w:val="2964394F"/>
    <w:rsid w:val="2A0E2346"/>
    <w:rsid w:val="2A10729A"/>
    <w:rsid w:val="2A5B5B77"/>
    <w:rsid w:val="2A7C3754"/>
    <w:rsid w:val="2AAC73DC"/>
    <w:rsid w:val="2AD510B6"/>
    <w:rsid w:val="2B682F41"/>
    <w:rsid w:val="2B9845BD"/>
    <w:rsid w:val="2BAD3860"/>
    <w:rsid w:val="2BB35581"/>
    <w:rsid w:val="2C23361F"/>
    <w:rsid w:val="2C2D52DD"/>
    <w:rsid w:val="2C4E6D35"/>
    <w:rsid w:val="2C6170A5"/>
    <w:rsid w:val="2C6A65D2"/>
    <w:rsid w:val="2D376742"/>
    <w:rsid w:val="2D6A2BD4"/>
    <w:rsid w:val="2D9F36CC"/>
    <w:rsid w:val="2E075A2A"/>
    <w:rsid w:val="2E155FD5"/>
    <w:rsid w:val="2E661B9C"/>
    <w:rsid w:val="2EE85CB3"/>
    <w:rsid w:val="2F0175E1"/>
    <w:rsid w:val="2F0C0317"/>
    <w:rsid w:val="2F24104A"/>
    <w:rsid w:val="2F29178F"/>
    <w:rsid w:val="2F343181"/>
    <w:rsid w:val="2F936A99"/>
    <w:rsid w:val="2FE6583F"/>
    <w:rsid w:val="302831EE"/>
    <w:rsid w:val="303F7FA4"/>
    <w:rsid w:val="30EC0F07"/>
    <w:rsid w:val="30FE1366"/>
    <w:rsid w:val="31327262"/>
    <w:rsid w:val="3133649B"/>
    <w:rsid w:val="31481F95"/>
    <w:rsid w:val="31DC09BC"/>
    <w:rsid w:val="31FB0FAC"/>
    <w:rsid w:val="322A7F39"/>
    <w:rsid w:val="32435AF9"/>
    <w:rsid w:val="32F75F3C"/>
    <w:rsid w:val="32FA142D"/>
    <w:rsid w:val="333A4076"/>
    <w:rsid w:val="3350577D"/>
    <w:rsid w:val="33532B2D"/>
    <w:rsid w:val="3358554E"/>
    <w:rsid w:val="335C2374"/>
    <w:rsid w:val="336A2CE3"/>
    <w:rsid w:val="33E01DF8"/>
    <w:rsid w:val="34607C42"/>
    <w:rsid w:val="35026958"/>
    <w:rsid w:val="354C784B"/>
    <w:rsid w:val="35774857"/>
    <w:rsid w:val="361561A7"/>
    <w:rsid w:val="37024A30"/>
    <w:rsid w:val="373636A8"/>
    <w:rsid w:val="37503F9E"/>
    <w:rsid w:val="37BA28FB"/>
    <w:rsid w:val="37F44BF3"/>
    <w:rsid w:val="386E2995"/>
    <w:rsid w:val="389E19FD"/>
    <w:rsid w:val="39155AF4"/>
    <w:rsid w:val="391F00CC"/>
    <w:rsid w:val="39237490"/>
    <w:rsid w:val="39536F7B"/>
    <w:rsid w:val="397321C6"/>
    <w:rsid w:val="39A84B23"/>
    <w:rsid w:val="3A757903"/>
    <w:rsid w:val="3A857BC8"/>
    <w:rsid w:val="3ACE44B6"/>
    <w:rsid w:val="3AF47336"/>
    <w:rsid w:val="3B20041C"/>
    <w:rsid w:val="3B842468"/>
    <w:rsid w:val="3B933625"/>
    <w:rsid w:val="3BB16FD5"/>
    <w:rsid w:val="3BB93335"/>
    <w:rsid w:val="3BDA652C"/>
    <w:rsid w:val="3C642CCF"/>
    <w:rsid w:val="3C6F3118"/>
    <w:rsid w:val="3C7100F9"/>
    <w:rsid w:val="3C85073C"/>
    <w:rsid w:val="3C964B49"/>
    <w:rsid w:val="3D1B32A0"/>
    <w:rsid w:val="3D25335F"/>
    <w:rsid w:val="3D2E3787"/>
    <w:rsid w:val="3D406863"/>
    <w:rsid w:val="3D4A5933"/>
    <w:rsid w:val="3D5E0D9C"/>
    <w:rsid w:val="3DA721D0"/>
    <w:rsid w:val="3E210442"/>
    <w:rsid w:val="3E2D7653"/>
    <w:rsid w:val="3EA21A0C"/>
    <w:rsid w:val="3EE54123"/>
    <w:rsid w:val="3EFD1FEA"/>
    <w:rsid w:val="3F0F473E"/>
    <w:rsid w:val="40BC6B48"/>
    <w:rsid w:val="40E02836"/>
    <w:rsid w:val="411B49EE"/>
    <w:rsid w:val="41B43C2E"/>
    <w:rsid w:val="41DF1011"/>
    <w:rsid w:val="41EE4ADF"/>
    <w:rsid w:val="422E7029"/>
    <w:rsid w:val="422F44DE"/>
    <w:rsid w:val="42836C14"/>
    <w:rsid w:val="42876CE2"/>
    <w:rsid w:val="428E075B"/>
    <w:rsid w:val="42C121F4"/>
    <w:rsid w:val="42C43A92"/>
    <w:rsid w:val="42D50F53"/>
    <w:rsid w:val="42E623A6"/>
    <w:rsid w:val="42EB3B5C"/>
    <w:rsid w:val="430018A7"/>
    <w:rsid w:val="43375B7B"/>
    <w:rsid w:val="433B01F8"/>
    <w:rsid w:val="434D3A87"/>
    <w:rsid w:val="43657C81"/>
    <w:rsid w:val="439233C7"/>
    <w:rsid w:val="43A53A1F"/>
    <w:rsid w:val="43D91FB7"/>
    <w:rsid w:val="440203D8"/>
    <w:rsid w:val="44054362"/>
    <w:rsid w:val="447C0AC8"/>
    <w:rsid w:val="44915748"/>
    <w:rsid w:val="44E177B9"/>
    <w:rsid w:val="451C7928"/>
    <w:rsid w:val="4600409E"/>
    <w:rsid w:val="462733CB"/>
    <w:rsid w:val="46317690"/>
    <w:rsid w:val="46341C47"/>
    <w:rsid w:val="46362942"/>
    <w:rsid w:val="465F64D2"/>
    <w:rsid w:val="46721AB1"/>
    <w:rsid w:val="46737CA9"/>
    <w:rsid w:val="46A57075"/>
    <w:rsid w:val="46C87FF5"/>
    <w:rsid w:val="47183DDD"/>
    <w:rsid w:val="473A07C7"/>
    <w:rsid w:val="476C7EB3"/>
    <w:rsid w:val="47AF6D60"/>
    <w:rsid w:val="47E03E68"/>
    <w:rsid w:val="48BA396D"/>
    <w:rsid w:val="48F055E1"/>
    <w:rsid w:val="49683BE7"/>
    <w:rsid w:val="49A560E6"/>
    <w:rsid w:val="49D0029C"/>
    <w:rsid w:val="4A605AF9"/>
    <w:rsid w:val="4A911311"/>
    <w:rsid w:val="4AFA06DE"/>
    <w:rsid w:val="4AFA3503"/>
    <w:rsid w:val="4AFD5D93"/>
    <w:rsid w:val="4BAD5A0B"/>
    <w:rsid w:val="4D5F4C44"/>
    <w:rsid w:val="4DFE4DF4"/>
    <w:rsid w:val="4E644A95"/>
    <w:rsid w:val="4E8671A0"/>
    <w:rsid w:val="4EC71A44"/>
    <w:rsid w:val="4F262900"/>
    <w:rsid w:val="4F30194D"/>
    <w:rsid w:val="4F33356C"/>
    <w:rsid w:val="4F36622A"/>
    <w:rsid w:val="4F822D0B"/>
    <w:rsid w:val="4FBB03E3"/>
    <w:rsid w:val="500069A2"/>
    <w:rsid w:val="503573E2"/>
    <w:rsid w:val="50655898"/>
    <w:rsid w:val="506A731C"/>
    <w:rsid w:val="51340C78"/>
    <w:rsid w:val="513F43C6"/>
    <w:rsid w:val="519C4558"/>
    <w:rsid w:val="51E33768"/>
    <w:rsid w:val="51F42B99"/>
    <w:rsid w:val="52097713"/>
    <w:rsid w:val="52CD5996"/>
    <w:rsid w:val="53986FA1"/>
    <w:rsid w:val="539F1B25"/>
    <w:rsid w:val="54C46176"/>
    <w:rsid w:val="54D51B2F"/>
    <w:rsid w:val="550A7A2A"/>
    <w:rsid w:val="55BA72C6"/>
    <w:rsid w:val="569F53F4"/>
    <w:rsid w:val="56A63783"/>
    <w:rsid w:val="56C9316E"/>
    <w:rsid w:val="57246F5C"/>
    <w:rsid w:val="57696EE6"/>
    <w:rsid w:val="57CC4F2E"/>
    <w:rsid w:val="57DA73A0"/>
    <w:rsid w:val="57F50A1F"/>
    <w:rsid w:val="58550FBC"/>
    <w:rsid w:val="586A5B3C"/>
    <w:rsid w:val="58782EFD"/>
    <w:rsid w:val="58A5046E"/>
    <w:rsid w:val="59CC37D3"/>
    <w:rsid w:val="59F36CDF"/>
    <w:rsid w:val="5A010738"/>
    <w:rsid w:val="5A227D9B"/>
    <w:rsid w:val="5A92249C"/>
    <w:rsid w:val="5ACA3526"/>
    <w:rsid w:val="5B171CCA"/>
    <w:rsid w:val="5B6B12DA"/>
    <w:rsid w:val="5C0F5EF4"/>
    <w:rsid w:val="5C370856"/>
    <w:rsid w:val="5C6902F8"/>
    <w:rsid w:val="5C98749D"/>
    <w:rsid w:val="5CAA72C8"/>
    <w:rsid w:val="5CB10351"/>
    <w:rsid w:val="5CD728D9"/>
    <w:rsid w:val="5CE550B3"/>
    <w:rsid w:val="5D335644"/>
    <w:rsid w:val="5D365ACC"/>
    <w:rsid w:val="5D3E3727"/>
    <w:rsid w:val="5D535CE6"/>
    <w:rsid w:val="5D926C54"/>
    <w:rsid w:val="5E5565A3"/>
    <w:rsid w:val="5E58798A"/>
    <w:rsid w:val="5E5D6E1D"/>
    <w:rsid w:val="5E9129FF"/>
    <w:rsid w:val="5EB87851"/>
    <w:rsid w:val="5EE66E12"/>
    <w:rsid w:val="5F071EFA"/>
    <w:rsid w:val="5F417C87"/>
    <w:rsid w:val="5F6209AB"/>
    <w:rsid w:val="5FA267D3"/>
    <w:rsid w:val="5FC30F01"/>
    <w:rsid w:val="5FD35CB7"/>
    <w:rsid w:val="5FDA57B6"/>
    <w:rsid w:val="604B29EA"/>
    <w:rsid w:val="609F77CA"/>
    <w:rsid w:val="60E15A12"/>
    <w:rsid w:val="6109328C"/>
    <w:rsid w:val="61260F08"/>
    <w:rsid w:val="618314CF"/>
    <w:rsid w:val="618735C6"/>
    <w:rsid w:val="61A373EE"/>
    <w:rsid w:val="61DD7645"/>
    <w:rsid w:val="627B15F9"/>
    <w:rsid w:val="62960B4F"/>
    <w:rsid w:val="62A3739F"/>
    <w:rsid w:val="62D96C8E"/>
    <w:rsid w:val="635F53E5"/>
    <w:rsid w:val="636B23BD"/>
    <w:rsid w:val="64414AEB"/>
    <w:rsid w:val="645D33EF"/>
    <w:rsid w:val="64607956"/>
    <w:rsid w:val="64B4350F"/>
    <w:rsid w:val="651F63A7"/>
    <w:rsid w:val="65CA5BF9"/>
    <w:rsid w:val="66065FEC"/>
    <w:rsid w:val="66913324"/>
    <w:rsid w:val="66C35E82"/>
    <w:rsid w:val="6712775C"/>
    <w:rsid w:val="67247827"/>
    <w:rsid w:val="67384641"/>
    <w:rsid w:val="6750593F"/>
    <w:rsid w:val="675D6ECD"/>
    <w:rsid w:val="67A23AF2"/>
    <w:rsid w:val="68396A78"/>
    <w:rsid w:val="686F4042"/>
    <w:rsid w:val="68A6395E"/>
    <w:rsid w:val="68D12EFD"/>
    <w:rsid w:val="692B3817"/>
    <w:rsid w:val="693C266C"/>
    <w:rsid w:val="693C55FC"/>
    <w:rsid w:val="69496F06"/>
    <w:rsid w:val="6A160172"/>
    <w:rsid w:val="6A605367"/>
    <w:rsid w:val="6ABC7A01"/>
    <w:rsid w:val="6AC12151"/>
    <w:rsid w:val="6AD77F57"/>
    <w:rsid w:val="6B1B0025"/>
    <w:rsid w:val="6B491B59"/>
    <w:rsid w:val="6B5361DC"/>
    <w:rsid w:val="6BD87370"/>
    <w:rsid w:val="6BD9385B"/>
    <w:rsid w:val="6BF21607"/>
    <w:rsid w:val="6C243D9F"/>
    <w:rsid w:val="6CFD0A52"/>
    <w:rsid w:val="6D1E00BF"/>
    <w:rsid w:val="6D2A67DF"/>
    <w:rsid w:val="6D5712E4"/>
    <w:rsid w:val="6D5E7659"/>
    <w:rsid w:val="6DA0000F"/>
    <w:rsid w:val="6DAA62A8"/>
    <w:rsid w:val="6DBE0F5A"/>
    <w:rsid w:val="6E1F7C4B"/>
    <w:rsid w:val="6E6252EE"/>
    <w:rsid w:val="6E66256B"/>
    <w:rsid w:val="6E8612BC"/>
    <w:rsid w:val="6EC72090"/>
    <w:rsid w:val="6F9E1043"/>
    <w:rsid w:val="6FD26F3F"/>
    <w:rsid w:val="6FD330EB"/>
    <w:rsid w:val="6FE169C0"/>
    <w:rsid w:val="7148395C"/>
    <w:rsid w:val="71514ED6"/>
    <w:rsid w:val="7162598C"/>
    <w:rsid w:val="72021D5D"/>
    <w:rsid w:val="730438B3"/>
    <w:rsid w:val="73146EFC"/>
    <w:rsid w:val="73773F76"/>
    <w:rsid w:val="73A711B1"/>
    <w:rsid w:val="74FE5C82"/>
    <w:rsid w:val="75027408"/>
    <w:rsid w:val="7541494A"/>
    <w:rsid w:val="7651793D"/>
    <w:rsid w:val="76E34E03"/>
    <w:rsid w:val="770C2D36"/>
    <w:rsid w:val="777D1E86"/>
    <w:rsid w:val="77963B82"/>
    <w:rsid w:val="77A40FB0"/>
    <w:rsid w:val="780954C8"/>
    <w:rsid w:val="78103568"/>
    <w:rsid w:val="787E7C64"/>
    <w:rsid w:val="78D83818"/>
    <w:rsid w:val="797C713C"/>
    <w:rsid w:val="7A0423EA"/>
    <w:rsid w:val="7AF21887"/>
    <w:rsid w:val="7B9A36F9"/>
    <w:rsid w:val="7B9B28DB"/>
    <w:rsid w:val="7B9F061D"/>
    <w:rsid w:val="7BD0764D"/>
    <w:rsid w:val="7BE814DF"/>
    <w:rsid w:val="7BFD0197"/>
    <w:rsid w:val="7CC077A2"/>
    <w:rsid w:val="7CDE0A96"/>
    <w:rsid w:val="7D8E6B9B"/>
    <w:rsid w:val="7DB860B1"/>
    <w:rsid w:val="7DC52521"/>
    <w:rsid w:val="7E1846B6"/>
    <w:rsid w:val="7F1633B2"/>
    <w:rsid w:val="7FC44AF6"/>
    <w:rsid w:val="7FE62872"/>
    <w:rsid w:val="7FFF896A"/>
    <w:rsid w:val="AEAC255D"/>
    <w:rsid w:val="AFED6BB2"/>
    <w:rsid w:val="DF85C0EC"/>
    <w:rsid w:val="F2DF0138"/>
    <w:rsid w:val="F79834C7"/>
    <w:rsid w:val="FCFBA7F4"/>
    <w:rsid w:val="FDEA5F67"/>
    <w:rsid w:val="FF775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60" w:lineRule="exact"/>
      <w:ind w:firstLine="640" w:firstLineChars="200"/>
    </w:pPr>
    <w:rPr>
      <w:rFonts w:ascii="方正仿宋_GBK" w:hAnsi="宋体" w:eastAsia="方正仿宋_GBK" w:cs="宋体"/>
      <w:sz w:val="32"/>
      <w:szCs w:val="32"/>
      <w:lang w:val="en-US" w:eastAsia="zh-CN" w:bidi="ar-SA"/>
    </w:rPr>
  </w:style>
  <w:style w:type="paragraph" w:styleId="2">
    <w:name w:val="heading 1"/>
    <w:basedOn w:val="1"/>
    <w:next w:val="1"/>
    <w:link w:val="21"/>
    <w:qFormat/>
    <w:uiPriority w:val="9"/>
    <w:pPr>
      <w:keepNext/>
      <w:keepLines/>
      <w:shd w:val="clear" w:color="auto" w:fill="FFFFFF"/>
      <w:ind w:firstLine="643"/>
      <w:outlineLvl w:val="0"/>
    </w:pPr>
    <w:rPr>
      <w:rFonts w:ascii="Times New Roman" w:hAnsi="Times New Roman" w:eastAsia="黑体" w:cs="Times New Roman"/>
      <w:b/>
      <w:bCs/>
      <w:color w:val="333333"/>
    </w:rPr>
  </w:style>
  <w:style w:type="paragraph" w:styleId="3">
    <w:name w:val="heading 2"/>
    <w:basedOn w:val="2"/>
    <w:next w:val="1"/>
    <w:link w:val="22"/>
    <w:qFormat/>
    <w:uiPriority w:val="0"/>
    <w:pPr>
      <w:ind w:firstLine="640"/>
      <w:outlineLvl w:val="1"/>
    </w:pPr>
    <w:rPr>
      <w:rFonts w:eastAsia="方正楷体_GBK"/>
      <w:b w:val="0"/>
    </w:rPr>
  </w:style>
  <w:style w:type="character" w:default="1" w:styleId="17">
    <w:name w:val="Default Paragraph Font"/>
    <w:unhideWhenUsed/>
    <w:uiPriority w:val="1"/>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styleId="4">
    <w:name w:val="annotation text"/>
    <w:basedOn w:val="1"/>
    <w:link w:val="23"/>
    <w:qFormat/>
    <w:uiPriority w:val="0"/>
  </w:style>
  <w:style w:type="paragraph" w:styleId="5">
    <w:name w:val="Body Text"/>
    <w:basedOn w:val="1"/>
    <w:next w:val="1"/>
    <w:qFormat/>
    <w:uiPriority w:val="0"/>
    <w:pPr>
      <w:spacing w:after="120"/>
    </w:pPr>
    <w:rPr>
      <w:rFonts w:ascii="Times New Roman" w:hAnsi="Times New Roman" w:eastAsia="方正楷体_GBK" w:cs="Times New Roman"/>
      <w:szCs w:val="24"/>
    </w:rPr>
  </w:style>
  <w:style w:type="paragraph" w:styleId="6">
    <w:name w:val="Body Text Indent"/>
    <w:basedOn w:val="1"/>
    <w:link w:val="24"/>
    <w:uiPriority w:val="0"/>
    <w:pPr>
      <w:adjustRightInd/>
      <w:snapToGrid/>
      <w:spacing w:after="120" w:line="240" w:lineRule="auto"/>
      <w:ind w:left="420" w:leftChars="200" w:firstLine="0" w:firstLineChars="0"/>
    </w:pPr>
    <w:rPr>
      <w:rFonts w:ascii="Times New Roman" w:hAnsi="Times New Roman" w:eastAsia="宋体" w:cs="Times New Roman"/>
      <w:sz w:val="24"/>
      <w:szCs w:val="24"/>
    </w:rPr>
  </w:style>
  <w:style w:type="paragraph" w:styleId="7">
    <w:name w:val="toc 3"/>
    <w:basedOn w:val="1"/>
    <w:next w:val="1"/>
    <w:qFormat/>
    <w:uiPriority w:val="0"/>
    <w:pPr>
      <w:ind w:left="840" w:leftChars="400"/>
    </w:pPr>
  </w:style>
  <w:style w:type="paragraph" w:styleId="8">
    <w:name w:val="Plain Text"/>
    <w:link w:val="25"/>
    <w:qFormat/>
    <w:uiPriority w:val="99"/>
    <w:pPr>
      <w:widowControl w:val="0"/>
      <w:ind w:firstLine="200" w:firstLineChars="200"/>
      <w:jc w:val="both"/>
    </w:pPr>
    <w:rPr>
      <w:rFonts w:ascii="方正仿宋_GBK" w:hAnsi="Courier New"/>
      <w:kern w:val="2"/>
      <w:sz w:val="21"/>
      <w:szCs w:val="21"/>
      <w:lang w:val="en-US" w:eastAsia="zh-CN" w:bidi="ar-SA"/>
    </w:rPr>
  </w:style>
  <w:style w:type="paragraph" w:styleId="9">
    <w:name w:val="Balloon Text"/>
    <w:basedOn w:val="1"/>
    <w:link w:val="26"/>
    <w:qFormat/>
    <w:uiPriority w:val="0"/>
    <w:pPr>
      <w:spacing w:line="240" w:lineRule="auto"/>
    </w:pPr>
    <w:rPr>
      <w:sz w:val="18"/>
      <w:szCs w:val="18"/>
    </w:rPr>
  </w:style>
  <w:style w:type="paragraph" w:styleId="10">
    <w:name w:val="footer"/>
    <w:basedOn w:val="1"/>
    <w:link w:val="27"/>
    <w:unhideWhenUsed/>
    <w:qFormat/>
    <w:uiPriority w:val="99"/>
    <w:pPr>
      <w:tabs>
        <w:tab w:val="center" w:pos="4153"/>
        <w:tab w:val="right" w:pos="8306"/>
      </w:tabs>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pPr>
      <w:spacing w:after="100" w:line="276" w:lineRule="auto"/>
    </w:pPr>
    <w:rPr>
      <w:sz w:val="22"/>
    </w:rPr>
  </w:style>
  <w:style w:type="paragraph" w:styleId="13">
    <w:name w:val="toc 2"/>
    <w:basedOn w:val="1"/>
    <w:next w:val="1"/>
    <w:unhideWhenUsed/>
    <w:qFormat/>
    <w:uiPriority w:val="39"/>
    <w:pPr>
      <w:ind w:left="420" w:leftChars="200"/>
    </w:pPr>
  </w:style>
  <w:style w:type="paragraph"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5">
    <w:name w:val="Normal (Web)"/>
    <w:basedOn w:val="1"/>
    <w:unhideWhenUsed/>
    <w:qFormat/>
    <w:uiPriority w:val="0"/>
    <w:pPr>
      <w:spacing w:before="100" w:beforeAutospacing="1" w:after="100" w:afterAutospacing="1"/>
    </w:pPr>
    <w:rPr>
      <w:rFonts w:ascii="宋体" w:eastAsia="宋体"/>
      <w:sz w:val="24"/>
      <w:szCs w:val="24"/>
    </w:rPr>
  </w:style>
  <w:style w:type="character" w:styleId="18">
    <w:name w:val="page number"/>
    <w:qFormat/>
    <w:uiPriority w:val="0"/>
  </w:style>
  <w:style w:type="character" w:styleId="19">
    <w:name w:val="Hyperlink"/>
    <w:basedOn w:val="17"/>
    <w:unhideWhenUsed/>
    <w:qFormat/>
    <w:uiPriority w:val="99"/>
    <w:rPr>
      <w:color w:val="333333"/>
      <w:u w:val="none"/>
    </w:rPr>
  </w:style>
  <w:style w:type="character" w:styleId="20">
    <w:name w:val="annotation reference"/>
    <w:basedOn w:val="17"/>
    <w:qFormat/>
    <w:uiPriority w:val="0"/>
    <w:rPr>
      <w:sz w:val="21"/>
      <w:szCs w:val="21"/>
    </w:rPr>
  </w:style>
  <w:style w:type="character" w:customStyle="1" w:styleId="21">
    <w:name w:val="标题 1 Char"/>
    <w:basedOn w:val="17"/>
    <w:link w:val="2"/>
    <w:uiPriority w:val="9"/>
    <w:rPr>
      <w:rFonts w:eastAsia="黑体"/>
      <w:b/>
      <w:bCs/>
      <w:color w:val="333333"/>
      <w:sz w:val="32"/>
      <w:szCs w:val="32"/>
      <w:shd w:val="clear" w:color="auto" w:fill="FFFFFF"/>
    </w:rPr>
  </w:style>
  <w:style w:type="character" w:customStyle="1" w:styleId="22">
    <w:name w:val="标题 2 Char"/>
    <w:basedOn w:val="17"/>
    <w:link w:val="3"/>
    <w:uiPriority w:val="0"/>
    <w:rPr>
      <w:rFonts w:eastAsia="方正楷体_GBK"/>
      <w:bCs/>
      <w:color w:val="333333"/>
      <w:sz w:val="32"/>
      <w:szCs w:val="32"/>
      <w:shd w:val="clear" w:color="auto" w:fill="FFFFFF"/>
    </w:rPr>
  </w:style>
  <w:style w:type="character" w:customStyle="1" w:styleId="23">
    <w:name w:val="批注文字 Char"/>
    <w:basedOn w:val="17"/>
    <w:link w:val="4"/>
    <w:qFormat/>
    <w:uiPriority w:val="0"/>
    <w:rPr>
      <w:rFonts w:ascii="方正仿宋_GBK" w:hAnsi="宋体" w:eastAsia="方正仿宋_GBK" w:cs="宋体"/>
      <w:sz w:val="32"/>
      <w:szCs w:val="32"/>
    </w:rPr>
  </w:style>
  <w:style w:type="character" w:customStyle="1" w:styleId="24">
    <w:name w:val="正文文本缩进 Char"/>
    <w:basedOn w:val="17"/>
    <w:link w:val="6"/>
    <w:uiPriority w:val="0"/>
    <w:rPr>
      <w:sz w:val="24"/>
      <w:szCs w:val="24"/>
    </w:rPr>
  </w:style>
  <w:style w:type="character" w:customStyle="1" w:styleId="25">
    <w:name w:val="纯文本 Char"/>
    <w:basedOn w:val="17"/>
    <w:link w:val="8"/>
    <w:uiPriority w:val="99"/>
    <w:rPr>
      <w:rFonts w:ascii="方正仿宋_GBK" w:hAnsi="Courier New"/>
      <w:kern w:val="2"/>
      <w:sz w:val="21"/>
      <w:szCs w:val="21"/>
      <w:lang w:val="en-US" w:eastAsia="zh-CN" w:bidi="ar-SA"/>
    </w:rPr>
  </w:style>
  <w:style w:type="character" w:customStyle="1" w:styleId="26">
    <w:name w:val="批注框文本 Char"/>
    <w:basedOn w:val="17"/>
    <w:link w:val="9"/>
    <w:qFormat/>
    <w:uiPriority w:val="0"/>
    <w:rPr>
      <w:rFonts w:ascii="方正仿宋_GBK" w:hAnsi="宋体" w:eastAsia="方正仿宋_GBK" w:cs="宋体"/>
      <w:sz w:val="18"/>
      <w:szCs w:val="18"/>
    </w:rPr>
  </w:style>
  <w:style w:type="character" w:customStyle="1" w:styleId="27">
    <w:name w:val="页脚 Char"/>
    <w:basedOn w:val="17"/>
    <w:link w:val="10"/>
    <w:uiPriority w:val="99"/>
    <w:rPr>
      <w:rFonts w:ascii="方正仿宋_GBK" w:hAnsi="宋体" w:eastAsia="方正仿宋_GBK" w:cs="宋体"/>
      <w:sz w:val="18"/>
      <w:szCs w:val="18"/>
    </w:rPr>
  </w:style>
  <w:style w:type="character" w:customStyle="1" w:styleId="28">
    <w:name w:val="页眉 Char"/>
    <w:basedOn w:val="17"/>
    <w:link w:val="11"/>
    <w:uiPriority w:val="99"/>
    <w:rPr>
      <w:rFonts w:ascii="方正仿宋_GBK" w:hAnsi="宋体" w:eastAsia="方正仿宋_GBK" w:cs="宋体"/>
      <w:sz w:val="18"/>
      <w:szCs w:val="18"/>
    </w:rPr>
  </w:style>
  <w:style w:type="paragraph" w:customStyle="1" w:styleId="29">
    <w:name w:val="Default"/>
    <w:unhideWhenUsed/>
    <w:qFormat/>
    <w:uiPriority w:val="99"/>
    <w:pPr>
      <w:widowControl w:val="0"/>
      <w:autoSpaceDE w:val="0"/>
      <w:autoSpaceDN w:val="0"/>
      <w:adjustRightInd w:val="0"/>
    </w:pPr>
    <w:rPr>
      <w:rFonts w:hint="eastAsia" w:ascii="方正黑体_GBK" w:eastAsia="方正黑体_GBK"/>
      <w:color w:val="000000"/>
      <w:sz w:val="24"/>
      <w:szCs w:val="22"/>
      <w:lang w:val="en-US" w:eastAsia="zh-CN" w:bidi="ar-SA"/>
    </w:rPr>
  </w:style>
  <w:style w:type="paragraph" w:customStyle="1" w:styleId="30">
    <w:name w:val="标2"/>
    <w:basedOn w:val="3"/>
    <w:qFormat/>
    <w:uiPriority w:val="0"/>
    <w:pPr>
      <w:keepNext w:val="0"/>
      <w:keepLines w:val="0"/>
      <w:widowControl w:val="0"/>
      <w:shd w:val="clear" w:color="auto" w:fill="auto"/>
      <w:spacing w:before="260" w:after="260" w:line="240" w:lineRule="auto"/>
      <w:jc w:val="center"/>
    </w:pPr>
    <w:rPr>
      <w:rFonts w:ascii="楷体_GB2312" w:hAnsi="Calibri Light" w:eastAsia="楷体_GB2312"/>
      <w:bCs w:val="0"/>
      <w:color w:val="auto"/>
      <w:kern w:val="2"/>
    </w:rPr>
  </w:style>
  <w:style w:type="paragraph" w:customStyle="1" w:styleId="31">
    <w:name w:val="大标题"/>
    <w:basedOn w:val="1"/>
    <w:qFormat/>
    <w:uiPriority w:val="0"/>
    <w:pPr>
      <w:autoSpaceDE w:val="0"/>
      <w:autoSpaceDN w:val="0"/>
      <w:spacing w:line="700" w:lineRule="atLeast"/>
      <w:jc w:val="center"/>
    </w:pPr>
    <w:rPr>
      <w:rFonts w:ascii="宋体"/>
      <w:sz w:val="44"/>
      <w:szCs w:val="44"/>
    </w:rPr>
  </w:style>
  <w:style w:type="paragraph" w:customStyle="1" w:styleId="32">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11374</Words>
  <Characters>11801</Characters>
  <Lines>124</Lines>
  <Paragraphs>35</Paragraphs>
  <TotalTime>13</TotalTime>
  <ScaleCrop>false</ScaleCrop>
  <LinksUpToDate>false</LinksUpToDate>
  <CharactersWithSpaces>12450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2022-12-01T16:54:00Z</dcterms:created>
  <dc:creator>美少女·壮士</dc:creator>
  <cp:lastModifiedBy> </cp:lastModifiedBy>
  <cp:lastPrinted>2024-03-26T08:55:05Z</cp:lastPrinted>
  <dcterms:modified xsi:type="dcterms:W3CDTF">2024-12-16T11:31:25Z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4E755681EF6D4DD0B8B67885149B2984</vt:lpwstr>
  </property>
</Properties>
</file>