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center"/>
        <w:textAlignment w:val="auto"/>
        <w:rPr>
          <w:rFonts w:eastAsia="方正小标宋_GBK"/>
          <w:b/>
          <w:sz w:val="44"/>
          <w:szCs w:val="44"/>
        </w:rPr>
      </w:pPr>
      <w:bookmarkStart w:id="0" w:name="_GoBack"/>
      <w:r>
        <w:rPr>
          <w:rFonts w:eastAsia="方正小标宋_GBK"/>
          <w:b/>
          <w:sz w:val="44"/>
          <w:szCs w:val="44"/>
        </w:rPr>
        <w:t>关于重庆市永川区</w:t>
      </w:r>
      <w:r>
        <w:rPr>
          <w:rFonts w:hint="eastAsia" w:eastAsia="方正小标宋_GBK"/>
          <w:b/>
          <w:sz w:val="44"/>
          <w:szCs w:val="44"/>
          <w:lang w:eastAsia="zh-CN"/>
        </w:rPr>
        <w:t>青峰镇人民政府2022</w:t>
      </w:r>
      <w:r>
        <w:rPr>
          <w:rFonts w:eastAsia="方正小标宋_GBK"/>
          <w:b/>
          <w:sz w:val="44"/>
          <w:szCs w:val="44"/>
        </w:rPr>
        <w:t>年预算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0" w:firstLineChars="0"/>
        <w:jc w:val="center"/>
        <w:textAlignment w:val="auto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执行情况和</w:t>
      </w:r>
      <w:r>
        <w:rPr>
          <w:rFonts w:hint="eastAsia" w:eastAsia="方正小标宋_GBK"/>
          <w:b/>
          <w:sz w:val="44"/>
          <w:szCs w:val="44"/>
          <w:lang w:eastAsia="zh-CN"/>
        </w:rPr>
        <w:t>2023</w:t>
      </w:r>
      <w:r>
        <w:rPr>
          <w:rFonts w:eastAsia="方正小标宋_GBK"/>
          <w:b/>
          <w:sz w:val="44"/>
          <w:szCs w:val="44"/>
        </w:rPr>
        <w:t>年预算草案的报告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0" w:firstLineChars="0"/>
        <w:textAlignment w:val="auto"/>
        <w:rPr>
          <w:rFonts w:eastAsia="方正楷体_GBK"/>
          <w:spacing w:val="-1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594" w:lineRule="exact"/>
        <w:ind w:firstLine="640" w:firstLineChars="200"/>
        <w:jc w:val="center"/>
        <w:textAlignment w:val="auto"/>
        <w:rPr>
          <w:rFonts w:hint="eastAsia" w:eastAsia="方正楷体_GBK"/>
          <w:szCs w:val="32"/>
          <w:lang w:eastAsia="zh-CN"/>
        </w:rPr>
      </w:pPr>
      <w:r>
        <w:rPr>
          <w:rFonts w:eastAsia="方正楷体_GBK"/>
          <w:szCs w:val="32"/>
        </w:rPr>
        <w:t>重庆市永川区</w:t>
      </w:r>
      <w:r>
        <w:rPr>
          <w:rFonts w:hint="eastAsia" w:eastAsia="方正楷体_GBK"/>
          <w:szCs w:val="32"/>
          <w:lang w:eastAsia="zh-CN"/>
        </w:rPr>
        <w:t>青峰镇人民政府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szCs w:val="32"/>
        </w:rPr>
      </w:pPr>
      <w:r>
        <w:rPr>
          <w:szCs w:val="32"/>
        </w:rPr>
        <w:t>受</w:t>
      </w:r>
      <w:r>
        <w:rPr>
          <w:rFonts w:hint="eastAsia"/>
          <w:szCs w:val="32"/>
          <w:lang w:eastAsia="zh-CN"/>
        </w:rPr>
        <w:t>镇人民政府</w:t>
      </w:r>
      <w:r>
        <w:rPr>
          <w:szCs w:val="32"/>
        </w:rPr>
        <w:t>委托，现将重庆市永川区</w:t>
      </w:r>
      <w:r>
        <w:rPr>
          <w:rFonts w:hint="eastAsia"/>
          <w:szCs w:val="32"/>
          <w:lang w:eastAsia="zh-CN"/>
        </w:rPr>
        <w:t>青峰镇人民政府2022</w:t>
      </w:r>
      <w:r>
        <w:rPr>
          <w:szCs w:val="32"/>
        </w:rPr>
        <w:t>年预算执行情况和</w:t>
      </w:r>
      <w:r>
        <w:rPr>
          <w:rFonts w:hint="eastAsia"/>
          <w:szCs w:val="32"/>
          <w:lang w:eastAsia="zh-CN"/>
        </w:rPr>
        <w:t>2023</w:t>
      </w:r>
      <w:r>
        <w:rPr>
          <w:szCs w:val="32"/>
        </w:rPr>
        <w:t>年预算草案的报告提请</w:t>
      </w:r>
      <w:r>
        <w:rPr>
          <w:rFonts w:hint="eastAsia"/>
          <w:szCs w:val="32"/>
          <w:lang w:eastAsia="zh-CN"/>
        </w:rPr>
        <w:t>镇</w:t>
      </w:r>
      <w:r>
        <w:rPr>
          <w:szCs w:val="32"/>
        </w:rPr>
        <w:t>大会审查，并请各位</w:t>
      </w:r>
      <w:r>
        <w:rPr>
          <w:rFonts w:hint="eastAsia"/>
          <w:szCs w:val="32"/>
          <w:lang w:eastAsia="zh-CN"/>
        </w:rPr>
        <w:t>人大代表</w:t>
      </w:r>
      <w:r>
        <w:rPr>
          <w:szCs w:val="32"/>
        </w:rPr>
        <w:t>提出意见。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</w:t>
      </w:r>
      <w:r>
        <w:rPr>
          <w:rFonts w:hint="eastAsia" w:eastAsia="方正黑体_GBK"/>
          <w:szCs w:val="32"/>
          <w:lang w:eastAsia="zh-CN"/>
        </w:rPr>
        <w:t>2022</w:t>
      </w:r>
      <w:r>
        <w:rPr>
          <w:rFonts w:eastAsia="方正黑体_GBK"/>
          <w:szCs w:val="32"/>
        </w:rPr>
        <w:t>年预算执行情况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2022年是本届政府履职的第一年，也是青峰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发展史上极不平凡的一年。面对疫情、火情、旱情三情叠加的巨大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压力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，我们始终坚持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以习近平新时代中国特色社会主义思想为指导，深入贯彻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党的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二十大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val="en-US" w:eastAsia="zh-CN"/>
        </w:rPr>
        <w:t>以及市委六届二次全会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精神，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坚决落实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疫情要防住、经济要稳住、发展要安全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要求，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紧扣全区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2235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总体发展思路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和重点目标任务，全面实施青峰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一二四四</w:t>
      </w:r>
      <w:r>
        <w:rPr>
          <w:rFonts w:hint="eastAsia" w:eastAsia="方正仿宋_GBK" w:cs="Times New Roman"/>
          <w:color w:val="000000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发展思路，全面、高效统筹疫情防控和经济社会发展，统筹发展和安全，有力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实现了新一届政府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</w:rPr>
        <w:t>良好开局。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楷体_GBK"/>
        </w:rPr>
      </w:pPr>
      <w:r>
        <w:rPr>
          <w:rFonts w:eastAsia="方正楷体_GBK"/>
          <w:szCs w:val="32"/>
        </w:rPr>
        <w:t>（一）全</w:t>
      </w:r>
      <w:r>
        <w:rPr>
          <w:rFonts w:hint="eastAsia" w:eastAsia="方正楷体_GBK"/>
          <w:szCs w:val="32"/>
          <w:lang w:eastAsia="zh-CN"/>
        </w:rPr>
        <w:t>镇</w:t>
      </w:r>
      <w:r>
        <w:rPr>
          <w:rFonts w:eastAsia="方正楷体_GBK"/>
          <w:szCs w:val="32"/>
        </w:rPr>
        <w:t>收支预算执行情况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b/>
          <w:szCs w:val="32"/>
        </w:rPr>
      </w:pPr>
      <w:r>
        <w:rPr>
          <w:b/>
          <w:szCs w:val="32"/>
        </w:rPr>
        <w:t>1．一般公共预算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全镇一般公共预算收入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万元，为年度预算的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%。其中：税收收入实现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%；非税收入实现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%。体制补助收入1285万元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固定性转移支付收入46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szCs w:val="32"/>
        </w:rPr>
        <w:t>加上上级转移支付收入</w:t>
      </w:r>
      <w:r>
        <w:rPr>
          <w:rFonts w:hint="eastAsia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上年结转收入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调入预算稳定调节基金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2825万元吗，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收入总计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一般公共预算支出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4319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万元，为年度预算的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%，增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%。加上上解支出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万元、结转下年支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442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万元、补充预算稳定调节基金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万元，支出总计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4929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万元。 </w:t>
      </w:r>
      <w:r>
        <w:rPr>
          <w:szCs w:val="32"/>
        </w:rPr>
        <w:t>收支相抵，</w:t>
      </w:r>
      <w:r>
        <w:rPr>
          <w:rFonts w:hint="eastAsia"/>
          <w:szCs w:val="32"/>
          <w:lang w:eastAsia="zh-CN"/>
        </w:rPr>
        <w:t>全镇</w:t>
      </w:r>
      <w:r>
        <w:rPr>
          <w:szCs w:val="32"/>
        </w:rPr>
        <w:t>一般公共预算收支平衡。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b/>
          <w:szCs w:val="32"/>
        </w:rPr>
      </w:pPr>
      <w:r>
        <w:rPr>
          <w:b/>
          <w:szCs w:val="32"/>
        </w:rPr>
        <w:t>2．政府性基金预算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政府性基金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收入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szCs w:val="32"/>
        </w:rPr>
        <w:t>为年度预算的</w:t>
      </w:r>
      <w:r>
        <w:rPr>
          <w:rFonts w:hint="eastAsia"/>
          <w:szCs w:val="32"/>
          <w:lang w:val="en-US" w:eastAsia="zh-CN"/>
        </w:rPr>
        <w:t>0</w:t>
      </w:r>
      <w:r>
        <w:rPr>
          <w:szCs w:val="32"/>
        </w:rPr>
        <w:t>%，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16</w:t>
      </w:r>
      <w:r>
        <w:rPr>
          <w:szCs w:val="32"/>
        </w:rPr>
        <w:t>%</w:t>
      </w:r>
      <w:r>
        <w:rPr>
          <w:rFonts w:hint="eastAsia"/>
          <w:szCs w:val="32"/>
          <w:lang w:eastAsia="zh-CN"/>
        </w:rPr>
        <w:t>。</w:t>
      </w:r>
      <w:r>
        <w:rPr>
          <w:szCs w:val="32"/>
        </w:rPr>
        <w:t>加上上级转移支付收入、上年结转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专项转移支付收入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上年结转收入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232万元，收入总量232万元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全镇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政府性基金支出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  <w:r>
        <w:rPr>
          <w:szCs w:val="32"/>
        </w:rPr>
        <w:t>为年度预算的</w:t>
      </w:r>
      <w:r>
        <w:rPr>
          <w:rFonts w:hint="eastAsia"/>
          <w:szCs w:val="32"/>
          <w:lang w:val="en-US" w:eastAsia="zh-CN"/>
        </w:rPr>
        <w:t>42</w:t>
      </w:r>
      <w:r>
        <w:rPr>
          <w:szCs w:val="32"/>
        </w:rPr>
        <w:t>%</w:t>
      </w:r>
      <w:r>
        <w:rPr>
          <w:rFonts w:hint="eastAsia"/>
          <w:szCs w:val="32"/>
          <w:lang w:eastAsia="zh-CN"/>
        </w:rPr>
        <w:t>，减少</w:t>
      </w:r>
      <w:r>
        <w:rPr>
          <w:rFonts w:hint="eastAsia"/>
          <w:szCs w:val="32"/>
          <w:lang w:val="en-US" w:eastAsia="zh-CN"/>
        </w:rPr>
        <w:t>53</w:t>
      </w:r>
      <w:r>
        <w:rPr>
          <w:szCs w:val="32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。加上结转下年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、调出资金等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135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万元，支出总</w:t>
      </w:r>
      <w:r>
        <w:rPr>
          <w:szCs w:val="32"/>
        </w:rPr>
        <w:t>量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szCs w:val="32"/>
        </w:rPr>
        <w:t>收支相抵，</w:t>
      </w:r>
      <w:r>
        <w:rPr>
          <w:rFonts w:hint="eastAsia"/>
          <w:szCs w:val="32"/>
          <w:lang w:eastAsia="zh-CN"/>
        </w:rPr>
        <w:t>全镇</w:t>
      </w:r>
      <w:r>
        <w:rPr>
          <w:szCs w:val="32"/>
        </w:rPr>
        <w:t>政府性基金预算收支平衡。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b/>
          <w:szCs w:val="32"/>
        </w:rPr>
      </w:pPr>
      <w:r>
        <w:rPr>
          <w:b/>
          <w:szCs w:val="32"/>
        </w:rPr>
        <w:t>3．国有资本经营预算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本镇无国有资本经营预算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  <w:lang w:eastAsia="zh-CN"/>
        </w:rPr>
        <w:t>二</w:t>
      </w:r>
      <w:r>
        <w:rPr>
          <w:rFonts w:eastAsia="方正楷体_GBK"/>
          <w:szCs w:val="32"/>
        </w:rPr>
        <w:t>）地方政府债务情况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本镇无地方债务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</w:t>
      </w:r>
      <w:r>
        <w:rPr>
          <w:rFonts w:hint="eastAsia" w:eastAsia="方正黑体_GBK"/>
          <w:szCs w:val="32"/>
          <w:lang w:eastAsia="zh-CN"/>
        </w:rPr>
        <w:t>2022</w:t>
      </w:r>
      <w:r>
        <w:rPr>
          <w:rFonts w:eastAsia="方正黑体_GBK"/>
          <w:szCs w:val="32"/>
        </w:rPr>
        <w:t>年落实区人大决议和重点财政工作情况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（一）聚焦财政收入，确保财政运行总体平稳。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在企业工商税收明显下滑的情况下，镇财政积极开源节流。一是加大招商引资力度，培植税源，成功引进3家企业；二是加强3个页岩气平台建设、管理及服务工作，实现页岩气资源税补助收入228.5万元。三是积极争取上级资金。在党委政府的统一部署下，部门协同联动，精准包装和申报项目，全年获得各类上级资金2201.6万元，有效缓解了本级支出压力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（二）聚焦财政支出，兜牢“三保”底线。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着力统筹财政收支，优先保障人员经费、基本运转和基本民生。投入1325万元保障基层政权建设稳定。投入271万元保障各项工作正常运转。投入797万元保障困难群众救助、优抚抚恤、民政对象、特困对象、临时性生活补助等基本民生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（三）聚焦发展稳定，着力支持重点工作任务。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投入农业生产补贴资金57万元，支持农业产业发展，巩固脱贫攻坚成果。投入疫情防控经费30万元，保障疫情防控物资采购、交通卡点值守、隔离点封控、防疫后勤等支出。面对持续极端干旱天气，投入抗旱救灾资金11万元，保障森林防火、高温下群众灌溉、生活用水用电等支出。投入39万元对农村危旧房进行改造等等。投入公路建设及道路养护维修17万元等等。投入4万元信访稳定资金，解决信访积案、化解老大难问题。投入135万元在莲花石、牌坊坝、凌阁堂、佛岩寺等村安装太阳能路灯450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（四）聚焦约束管理，着力深化财政管理改革。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提高预算管理信息化水平，有序推进预算管理一体化系统建设。持续加强预算绩效管理。加强固定资产管理，促进固定资产管理规范，避免国有资产浪费及流失。完善《机关财务管理制度》，加强财务内部控制。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（五）聚焦预决算公开，使财务管理在阳光下运行。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提高公开质量、加大公开力度，自觉主动接受群众监督。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（六）聚焦债务风险，着力加强政府债务管控。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坚持底线思维，增强忧患意识，不断提升综合财力，稳妥化解隐性债务，积极主动控增量、化存量、努力将债务风险指标控制在合理区间。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line="594" w:lineRule="exact"/>
        <w:ind w:firstLine="60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  <w:t>一年来，面对严峻复杂的国内外经济形势，我镇财政运行总体平稳。这些成绩的取得，是党委、政府坚强领导、科学施策的结果，是镇人大以及各位代表依法监督、有力支持的结果，是各部门攻坚克难、共同努力的结果。同时，我们也清醒地认识到，全镇预算执行和财政管理工作中还面临一些长期挑战和突出问题，主要是：受疫情影响、企业搬迁等因素，影响财税收入增长；保工资、保运转、保基本民生等刚性支出持续增长，收支矛盾更加突出，财政仍将处于紧平衡状态；过紧日子的氛围还不够浓厚，绩效管理的理念尚未深入人心；政府债务风险虽然总体可控，但防范化解债务风险的任务依然艰巨。对此，我们将坚持问题导向，抓住主要矛盾，精准施策发力，妥善加以解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</w:t>
      </w:r>
      <w:r>
        <w:rPr>
          <w:rFonts w:hint="eastAsia" w:eastAsia="方正黑体_GBK"/>
          <w:szCs w:val="32"/>
          <w:lang w:eastAsia="zh-CN"/>
        </w:rPr>
        <w:t>2023</w:t>
      </w:r>
      <w:r>
        <w:rPr>
          <w:rFonts w:eastAsia="方正黑体_GBK"/>
          <w:szCs w:val="32"/>
        </w:rPr>
        <w:t>年预算草案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楷体_GBK"/>
          <w:szCs w:val="32"/>
        </w:rPr>
      </w:pPr>
      <w:r>
        <w:rPr>
          <w:rFonts w:eastAsia="方正楷体_GBK"/>
          <w:szCs w:val="32"/>
        </w:rPr>
        <w:t>（一）指导思想和总体要求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szCs w:val="32"/>
        </w:rPr>
      </w:pPr>
      <w:r>
        <w:rPr>
          <w:b/>
          <w:bCs/>
          <w:szCs w:val="32"/>
        </w:rPr>
        <w:t>预算编制的指导思想是：</w:t>
      </w:r>
      <w:r>
        <w:rPr>
          <w:rFonts w:hint="eastAsia"/>
          <w:szCs w:val="32"/>
        </w:rPr>
        <w:t>坚持以习近平新时代中国特色社会主义思想为指导，深入贯彻党的二十大、二十届二中全会精神和中央经济工作会议精神，全面落实市委六届二次、三次、四次全会部署和市委经济工作会议要求，突出稳进增效、除险固安、改革突破、惠民强企工作导向，坚持稳中求进、以进促稳、先立后破，完整、准确、全面贯彻新发展理念，积极服务和融入新发展格局，着力推动高质量发展，全面深化改革开放，统筹扩大内需和深化供给侧结构性改革，统筹新型城镇化和乡村全面振兴，统筹高质量发展和高水平安全，全面落实国家重大战略，以科技创新引领现代化产业体系建设，切实增强经济活力、防范化解风险、改善社会预期，巩固和增强经济回升向好态势，增进民生福祉，保持社会稳定，加快建设主城都市新区强区、现代化区域中心城市，努力为全国、全市发展大局贡献更大力量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szCs w:val="32"/>
        </w:rPr>
      </w:pPr>
      <w:r>
        <w:rPr>
          <w:b/>
          <w:bCs/>
          <w:szCs w:val="32"/>
        </w:rPr>
        <w:t>财政工作的总体要求：</w:t>
      </w:r>
      <w:r>
        <w:rPr>
          <w:szCs w:val="32"/>
        </w:rPr>
        <w:t>落实积极财政政策，推动成渝地区双城经济圈、西部陆海新通道</w:t>
      </w:r>
      <w:r>
        <w:rPr>
          <w:rFonts w:hint="eastAsia"/>
          <w:szCs w:val="32"/>
        </w:rPr>
        <w:t>建设</w:t>
      </w:r>
      <w:r>
        <w:rPr>
          <w:szCs w:val="32"/>
        </w:rPr>
        <w:t>等重大战略部署落地落实。落实好结构性减税降费政策，加大对市场主体支持力度，持续增进民生福祉，保持社会安全稳定。落实过紧日子要求，优化支出结构，严肃财经纪律，提高资金使用绩效。落实新一轮财税体制改革和“三攻坚一盘活”要求，深化区对开发区财政体制改革。统筹好发展和安全，兜牢“三保”底线，防范化解债务风险，确保财政运行平稳。加快财政数字化建设，全面推进预算管理一体化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楷体_GBK"/>
        </w:rPr>
      </w:pPr>
      <w:r>
        <w:rPr>
          <w:rFonts w:eastAsia="方正楷体_GBK"/>
          <w:szCs w:val="32"/>
        </w:rPr>
        <w:t>（二）全</w:t>
      </w:r>
      <w:r>
        <w:rPr>
          <w:rFonts w:hint="eastAsia" w:eastAsia="方正楷体_GBK"/>
          <w:szCs w:val="32"/>
          <w:lang w:eastAsia="zh-CN"/>
        </w:rPr>
        <w:t>镇</w:t>
      </w:r>
      <w:r>
        <w:rPr>
          <w:rFonts w:eastAsia="方正楷体_GBK"/>
          <w:szCs w:val="32"/>
        </w:rPr>
        <w:t>收支预算草案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b/>
          <w:szCs w:val="32"/>
        </w:rPr>
      </w:pPr>
      <w:r>
        <w:rPr>
          <w:b/>
          <w:szCs w:val="32"/>
        </w:rPr>
        <w:t>1．一般公共预算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eastAsia="zh-CN"/>
        </w:rPr>
        <w:t>全镇</w:t>
      </w:r>
      <w:r>
        <w:rPr>
          <w:szCs w:val="32"/>
        </w:rPr>
        <w:t>一般公共预算收入预期目标</w:t>
      </w:r>
      <w:r>
        <w:rPr>
          <w:rFonts w:hint="eastAsia"/>
          <w:szCs w:val="32"/>
          <w:lang w:val="en-US" w:eastAsia="zh-CN"/>
        </w:rPr>
        <w:t>356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58</w:t>
      </w:r>
      <w:r>
        <w:rPr>
          <w:szCs w:val="32"/>
        </w:rPr>
        <w:t>%，其中：税收收入</w:t>
      </w:r>
      <w:r>
        <w:rPr>
          <w:rFonts w:hint="eastAsia"/>
          <w:szCs w:val="32"/>
          <w:lang w:val="en-US" w:eastAsia="zh-CN"/>
        </w:rPr>
        <w:t>331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</w:t>
      </w:r>
      <w:r>
        <w:rPr>
          <w:rFonts w:hint="eastAsia"/>
          <w:szCs w:val="32"/>
          <w:lang w:eastAsia="zh-CN"/>
        </w:rPr>
        <w:t>减少</w:t>
      </w:r>
      <w:r>
        <w:rPr>
          <w:rFonts w:hint="eastAsia"/>
          <w:szCs w:val="32"/>
          <w:lang w:val="en-US" w:eastAsia="zh-CN"/>
        </w:rPr>
        <w:t>59</w:t>
      </w:r>
      <w:r>
        <w:rPr>
          <w:szCs w:val="32"/>
        </w:rPr>
        <w:t>%。加上上级补助收入</w:t>
      </w:r>
      <w:r>
        <w:rPr>
          <w:rFonts w:hint="eastAsia"/>
          <w:szCs w:val="32"/>
          <w:lang w:eastAsia="zh-CN"/>
        </w:rPr>
        <w:t>、专项转移支付收入、</w:t>
      </w:r>
      <w:r>
        <w:rPr>
          <w:szCs w:val="32"/>
        </w:rPr>
        <w:t>上年结转收入</w:t>
      </w:r>
      <w:r>
        <w:rPr>
          <w:rFonts w:hint="eastAsia"/>
          <w:szCs w:val="32"/>
          <w:lang w:eastAsia="zh-CN"/>
        </w:rPr>
        <w:t>、调入预算稳定调节基金</w:t>
      </w:r>
      <w:r>
        <w:rPr>
          <w:szCs w:val="32"/>
        </w:rPr>
        <w:t>等</w:t>
      </w:r>
      <w:r>
        <w:rPr>
          <w:rFonts w:hint="eastAsia"/>
          <w:szCs w:val="32"/>
          <w:lang w:val="en-US" w:eastAsia="zh-CN"/>
        </w:rPr>
        <w:t>2228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，收入总量</w:t>
      </w:r>
      <w:r>
        <w:rPr>
          <w:rFonts w:hint="eastAsia"/>
          <w:szCs w:val="32"/>
          <w:lang w:val="en-US" w:eastAsia="zh-CN"/>
        </w:rPr>
        <w:t>2584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szCs w:val="32"/>
          <w:lang w:eastAsia="zh-CN"/>
        </w:rPr>
        <w:t>全镇</w:t>
      </w:r>
      <w:r>
        <w:rPr>
          <w:szCs w:val="32"/>
        </w:rPr>
        <w:t>一般公共预算支出安排</w:t>
      </w:r>
      <w:r>
        <w:rPr>
          <w:rFonts w:hint="eastAsia"/>
          <w:szCs w:val="32"/>
          <w:lang w:val="en-US" w:eastAsia="zh-CN"/>
        </w:rPr>
        <w:t>2584</w:t>
      </w:r>
      <w:r>
        <w:rPr>
          <w:rFonts w:hint="eastAsia"/>
          <w:szCs w:val="32"/>
          <w:lang w:eastAsia="zh-CN"/>
        </w:rPr>
        <w:t>元</w:t>
      </w:r>
      <w:r>
        <w:rPr>
          <w:szCs w:val="32"/>
        </w:rPr>
        <w:t>，加上上解上级支出、债务还本支出等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，支出总量</w:t>
      </w:r>
      <w:r>
        <w:rPr>
          <w:rFonts w:hint="eastAsia"/>
          <w:szCs w:val="32"/>
          <w:lang w:val="en-US" w:eastAsia="zh-CN"/>
        </w:rPr>
        <w:t>2383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其中镇本级重点支出安排情况如下：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——一般公共服务支出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万元。主要用于机关单位人员工资福利支出，人大、意识形态，党建群团、信访、维稳等。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——文化旅游体育与传媒支出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万元。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主要用于持续推动公共文化场馆免费、低收费开放，开展流动文化进基层、文艺精品创作、文物保护。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——社会保障和就业支出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万元。主要用于机关事业单位养老保险和职业年金、离退休人员健康休养及慰问、优抚优待、退役安置、特困和低保等困难群众社会救助等支出。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——卫生健康支出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84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万元。主要用于城乡居民医疗保险财政补助、职工医保清算财政承担、医疗救助、疫情防控、基本公共卫生和重大公共卫生、计划生育奖励扶助和特别扶助政策等支出。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——城乡社区支出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155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万元。主要用于市政管理运维、市政基础设施维修改造、绿化美化亮化场镇环境等支出。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——农林水支出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396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万元。主要用于巩固拓展脱贫攻坚成果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乡村振兴有效衔接、壮大农业特色主导产业、培育新型经营主体、支持农业生产社会化服务、农村综合改革、农村人居环境整治、农村户厕改造、耕地地力保护、森林防火、松材线虫病防控等支出。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——住房保障支出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122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万元。主要用于城镇老旧小区改造及周边环境改善及配套基础设施改善、农村危旧房改造等支出。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——预备费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万元，主要用于救灾抢险等突发事件支出。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kern w:val="0"/>
          <w:szCs w:val="32"/>
        </w:rPr>
      </w:pPr>
      <w:r>
        <w:rPr>
          <w:szCs w:val="32"/>
        </w:rPr>
        <w:t>上述支出中，涉及预算草案批准前必须安排的人员、基本运转等支出，按照《预算法》第五十四条规定，已作相应安排。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b/>
          <w:szCs w:val="32"/>
        </w:rPr>
      </w:pPr>
      <w:r>
        <w:rPr>
          <w:b/>
          <w:szCs w:val="32"/>
        </w:rPr>
        <w:t>2．政府性基金预算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eastAsia="zh-CN"/>
        </w:rPr>
        <w:t>全镇</w:t>
      </w:r>
      <w:r>
        <w:rPr>
          <w:szCs w:val="32"/>
        </w:rPr>
        <w:t>地方政府性基金预算收入预期目标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，增长</w:t>
      </w:r>
      <w:r>
        <w:rPr>
          <w:rFonts w:hint="eastAsia"/>
          <w:szCs w:val="32"/>
          <w:lang w:val="en-US" w:eastAsia="zh-CN"/>
        </w:rPr>
        <w:t>0</w:t>
      </w:r>
      <w:r>
        <w:rPr>
          <w:szCs w:val="32"/>
        </w:rPr>
        <w:t>%。加上上级补助收入、上年结转收入、地方政府债券收入等</w:t>
      </w:r>
      <w:r>
        <w:rPr>
          <w:rFonts w:hint="eastAsia"/>
          <w:szCs w:val="32"/>
          <w:lang w:val="en-US" w:eastAsia="zh-CN"/>
        </w:rPr>
        <w:t>39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，收入总量</w:t>
      </w:r>
      <w:r>
        <w:rPr>
          <w:rFonts w:hint="eastAsia"/>
          <w:szCs w:val="32"/>
          <w:lang w:val="en-US" w:eastAsia="zh-CN"/>
        </w:rPr>
        <w:t>39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eastAsia="zh-CN"/>
        </w:rPr>
        <w:t>全镇</w:t>
      </w:r>
      <w:r>
        <w:rPr>
          <w:szCs w:val="32"/>
        </w:rPr>
        <w:t>地方政府性基金预算支出安排</w:t>
      </w:r>
      <w:r>
        <w:rPr>
          <w:rFonts w:hint="eastAsia"/>
          <w:szCs w:val="32"/>
          <w:lang w:val="en-US" w:eastAsia="zh-CN"/>
        </w:rPr>
        <w:t>39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，加上调出资金、上解上级支出、债务还本支出等</w:t>
      </w:r>
      <w:r>
        <w:rPr>
          <w:rFonts w:hint="eastAsia"/>
          <w:szCs w:val="32"/>
          <w:lang w:val="en-US" w:eastAsia="zh-CN"/>
        </w:rPr>
        <w:t>0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，支出总量</w:t>
      </w:r>
      <w:r>
        <w:rPr>
          <w:rFonts w:hint="eastAsia"/>
          <w:szCs w:val="32"/>
          <w:lang w:val="en-US" w:eastAsia="zh-CN"/>
        </w:rPr>
        <w:t>39</w:t>
      </w:r>
      <w:r>
        <w:rPr>
          <w:rFonts w:hint="eastAsia"/>
          <w:szCs w:val="32"/>
          <w:lang w:eastAsia="zh-CN"/>
        </w:rPr>
        <w:t>万元</w:t>
      </w:r>
      <w:r>
        <w:rPr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2" w:firstLineChars="200"/>
        <w:textAlignment w:val="auto"/>
        <w:rPr>
          <w:b/>
          <w:szCs w:val="32"/>
        </w:rPr>
      </w:pPr>
      <w:r>
        <w:rPr>
          <w:b/>
          <w:szCs w:val="32"/>
        </w:rPr>
        <w:t>3．国有资本经营预算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/>
          <w:szCs w:val="32"/>
          <w:lang w:eastAsia="zh-CN"/>
        </w:rPr>
      </w:pPr>
      <w:r>
        <w:rPr>
          <w:rFonts w:hint="eastAsia"/>
          <w:szCs w:val="32"/>
          <w:lang w:eastAsia="zh-CN"/>
        </w:rPr>
        <w:t>本镇无国有资本经营预算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楷体_GBK"/>
          <w:szCs w:val="32"/>
        </w:rPr>
      </w:pPr>
      <w:r>
        <w:rPr>
          <w:rFonts w:eastAsia="方正楷体_GBK"/>
          <w:szCs w:val="32"/>
        </w:rPr>
        <w:t>（</w:t>
      </w:r>
      <w:r>
        <w:rPr>
          <w:rFonts w:hint="eastAsia" w:eastAsia="方正楷体_GBK"/>
          <w:szCs w:val="32"/>
          <w:lang w:eastAsia="zh-CN"/>
        </w:rPr>
        <w:t>三</w:t>
      </w:r>
      <w:r>
        <w:rPr>
          <w:rFonts w:eastAsia="方正楷体_GBK"/>
          <w:szCs w:val="32"/>
        </w:rPr>
        <w:t>）地方政府债务还本付息安排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cs="Times New Roman"/>
          <w:kern w:val="0"/>
          <w:szCs w:val="32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32"/>
          <w:lang w:val="en-US" w:eastAsia="zh-CN"/>
        </w:rPr>
        <w:t>2023年，本镇无地方债务还本付息安排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</w:t>
      </w:r>
      <w:r>
        <w:rPr>
          <w:rFonts w:hint="eastAsia" w:eastAsia="方正黑体_GBK"/>
          <w:szCs w:val="32"/>
          <w:lang w:eastAsia="zh-CN"/>
        </w:rPr>
        <w:t>2023</w:t>
      </w:r>
      <w:r>
        <w:rPr>
          <w:rFonts w:eastAsia="方正黑体_GBK"/>
          <w:szCs w:val="32"/>
        </w:rPr>
        <w:t>年财政重点工作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（一）抓开源，更大力度增加财政收入。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在依法征收的基础上，努力实现应收尽收。提高服务企业精准度，稳定存量税源。抓好招商引资，拓展增量税源。结合上级资金投向和我镇实际，做好项目储备和前期准备，为我镇发展建设争取更多的资金、项目和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（二）控支出，更严标准推动政府过紧日子。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注重统筹收入与支出，大力优化财政支出结构，坚决兜牢“三保”底线。坚持节俭，压缩“三公”经费，努力降低行政运行成本。加强重大支出政策和重大投资项目财政承受能力评估，确保财政当期可承受，长期可持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（三）保重点，更实举措服务经济社会发展大局。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牢固树立以人民为中心的发展理念，坚持保基本、兜底线，提高投入的精准度，推动在老有所养、病有所医、住有所居、弱有所扶等民生方面不断取得新进展。继续推进乡村振兴战略，促进城乡融合发展。加强生态保护和治理。更好统筹发展和安全，支持做好疫情防控、安全生产、社会治理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（四）提效能，更高水平推动财政管理改革。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加快推进预算管理一体化建设，推动政府采购、资产管理、债务管理等业务工作，逐步实现财政资金全流程动态监控、预算项目全生命周期管理。推动预算绩效管理提质增效，强化事前评估、事中监控和事后评价。加强财政管理，统一全镇干部职工的认识，充分调动每一位干部职工当家理财、开源节流的积极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（五）稳运行，更富成效防范化解财政风险。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-SA"/>
        </w:rPr>
        <w:t>密切关注财政收支运行形势，加强收入分析研判、支出统筹调度，妥善应对收支矛盾，确保财政平稳运行。积极推进隐性债务化解。对党委政府确定的重点领域、重大项目，做好资金谋划，不断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napToGrid w:val="0"/>
        <w:spacing w:line="594" w:lineRule="exact"/>
        <w:ind w:firstLine="640" w:firstLineChars="200"/>
        <w:textAlignment w:val="auto"/>
        <w:rPr>
          <w:kern w:val="0"/>
          <w:szCs w:val="32"/>
        </w:rPr>
      </w:pPr>
    </w:p>
    <w:sectPr>
      <w:headerReference r:id="rId3" w:type="default"/>
      <w:footerReference r:id="rId4" w:type="default"/>
      <w:pgSz w:w="11906" w:h="16838"/>
      <w:pgMar w:top="1985" w:right="1446" w:bottom="1644" w:left="1446" w:header="851" w:footer="147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4"/>
        <w:rFonts w:ascii="宋体" w:hAnsi="宋体"/>
        <w:sz w:val="28"/>
        <w:szCs w:val="28"/>
        <w:lang/>
      </w:rPr>
      <w:t>- 19 -</w:t>
    </w:r>
    <w:r>
      <w:rPr>
        <w:rFonts w:ascii="宋体" w:hAnsi="宋体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ZjcxYzQ5MjMyZWIxNjhjNzQzY2Q1ODc4MzZkZGMifQ=="/>
  </w:docVars>
  <w:rsids>
    <w:rsidRoot w:val="00CD08A3"/>
    <w:rsid w:val="0000150C"/>
    <w:rsid w:val="00010196"/>
    <w:rsid w:val="00011B0B"/>
    <w:rsid w:val="00011C39"/>
    <w:rsid w:val="000120B5"/>
    <w:rsid w:val="000139AC"/>
    <w:rsid w:val="000166E4"/>
    <w:rsid w:val="00016D2B"/>
    <w:rsid w:val="00017378"/>
    <w:rsid w:val="000176B9"/>
    <w:rsid w:val="00017D4D"/>
    <w:rsid w:val="0002079A"/>
    <w:rsid w:val="0002124E"/>
    <w:rsid w:val="000225F3"/>
    <w:rsid w:val="000240B7"/>
    <w:rsid w:val="0002787B"/>
    <w:rsid w:val="00030F06"/>
    <w:rsid w:val="00033112"/>
    <w:rsid w:val="00034BAD"/>
    <w:rsid w:val="0003626C"/>
    <w:rsid w:val="000366D5"/>
    <w:rsid w:val="00046B59"/>
    <w:rsid w:val="000511CD"/>
    <w:rsid w:val="0005736D"/>
    <w:rsid w:val="00062DD9"/>
    <w:rsid w:val="0006561C"/>
    <w:rsid w:val="00066504"/>
    <w:rsid w:val="000710D2"/>
    <w:rsid w:val="00073E02"/>
    <w:rsid w:val="00074E16"/>
    <w:rsid w:val="00085E4B"/>
    <w:rsid w:val="00086EA6"/>
    <w:rsid w:val="00094325"/>
    <w:rsid w:val="00094BBD"/>
    <w:rsid w:val="00095E80"/>
    <w:rsid w:val="00097654"/>
    <w:rsid w:val="000A29D5"/>
    <w:rsid w:val="000A6E05"/>
    <w:rsid w:val="000B4A4E"/>
    <w:rsid w:val="000C26F8"/>
    <w:rsid w:val="000C2B67"/>
    <w:rsid w:val="000C3544"/>
    <w:rsid w:val="000D3B84"/>
    <w:rsid w:val="000D7ECE"/>
    <w:rsid w:val="000F3C58"/>
    <w:rsid w:val="000F6A19"/>
    <w:rsid w:val="00102480"/>
    <w:rsid w:val="00103B05"/>
    <w:rsid w:val="00106DF0"/>
    <w:rsid w:val="00106DFA"/>
    <w:rsid w:val="00107F69"/>
    <w:rsid w:val="00111CC2"/>
    <w:rsid w:val="0011209D"/>
    <w:rsid w:val="001121A7"/>
    <w:rsid w:val="0011674F"/>
    <w:rsid w:val="001206A1"/>
    <w:rsid w:val="0014202A"/>
    <w:rsid w:val="00143E13"/>
    <w:rsid w:val="001475EF"/>
    <w:rsid w:val="00154A09"/>
    <w:rsid w:val="001571C3"/>
    <w:rsid w:val="001628A6"/>
    <w:rsid w:val="00165F33"/>
    <w:rsid w:val="0016629B"/>
    <w:rsid w:val="00166D78"/>
    <w:rsid w:val="001724A4"/>
    <w:rsid w:val="00181EF2"/>
    <w:rsid w:val="00186134"/>
    <w:rsid w:val="001874BC"/>
    <w:rsid w:val="001B38EF"/>
    <w:rsid w:val="001B4706"/>
    <w:rsid w:val="001C5C42"/>
    <w:rsid w:val="001D50E5"/>
    <w:rsid w:val="001D76F8"/>
    <w:rsid w:val="001E1CDD"/>
    <w:rsid w:val="001E35A3"/>
    <w:rsid w:val="001E5F83"/>
    <w:rsid w:val="001E62C0"/>
    <w:rsid w:val="001F473C"/>
    <w:rsid w:val="001F4E7F"/>
    <w:rsid w:val="001F631C"/>
    <w:rsid w:val="00200C10"/>
    <w:rsid w:val="0020582E"/>
    <w:rsid w:val="002158C4"/>
    <w:rsid w:val="00223B16"/>
    <w:rsid w:val="00225069"/>
    <w:rsid w:val="0023067F"/>
    <w:rsid w:val="00232ECA"/>
    <w:rsid w:val="002358AA"/>
    <w:rsid w:val="0023723D"/>
    <w:rsid w:val="0023733D"/>
    <w:rsid w:val="00247621"/>
    <w:rsid w:val="00252488"/>
    <w:rsid w:val="002529A9"/>
    <w:rsid w:val="00267F04"/>
    <w:rsid w:val="0027218C"/>
    <w:rsid w:val="00272DD8"/>
    <w:rsid w:val="00272F9D"/>
    <w:rsid w:val="002753C0"/>
    <w:rsid w:val="002759FC"/>
    <w:rsid w:val="00276C0F"/>
    <w:rsid w:val="002808D6"/>
    <w:rsid w:val="002812A8"/>
    <w:rsid w:val="00283D59"/>
    <w:rsid w:val="00291105"/>
    <w:rsid w:val="002B6951"/>
    <w:rsid w:val="002C3F0D"/>
    <w:rsid w:val="002D55E3"/>
    <w:rsid w:val="002D580E"/>
    <w:rsid w:val="002E5F51"/>
    <w:rsid w:val="002E6016"/>
    <w:rsid w:val="002F37C5"/>
    <w:rsid w:val="002F42EB"/>
    <w:rsid w:val="002F609F"/>
    <w:rsid w:val="00301623"/>
    <w:rsid w:val="003040E5"/>
    <w:rsid w:val="00304E2D"/>
    <w:rsid w:val="00305F9F"/>
    <w:rsid w:val="00313582"/>
    <w:rsid w:val="003165E0"/>
    <w:rsid w:val="00327D41"/>
    <w:rsid w:val="00332618"/>
    <w:rsid w:val="003363DB"/>
    <w:rsid w:val="00340364"/>
    <w:rsid w:val="00346B6A"/>
    <w:rsid w:val="003519F0"/>
    <w:rsid w:val="00352D7F"/>
    <w:rsid w:val="003536EE"/>
    <w:rsid w:val="003624B5"/>
    <w:rsid w:val="00367804"/>
    <w:rsid w:val="00381CBB"/>
    <w:rsid w:val="0038310F"/>
    <w:rsid w:val="00383A2E"/>
    <w:rsid w:val="0038419D"/>
    <w:rsid w:val="00384B79"/>
    <w:rsid w:val="00386E85"/>
    <w:rsid w:val="00390D28"/>
    <w:rsid w:val="00391ED7"/>
    <w:rsid w:val="00393EDE"/>
    <w:rsid w:val="0039588D"/>
    <w:rsid w:val="00395E7E"/>
    <w:rsid w:val="00397168"/>
    <w:rsid w:val="003A5140"/>
    <w:rsid w:val="003A627F"/>
    <w:rsid w:val="003B0C3F"/>
    <w:rsid w:val="003B21C7"/>
    <w:rsid w:val="003C262F"/>
    <w:rsid w:val="003C3572"/>
    <w:rsid w:val="003D197A"/>
    <w:rsid w:val="003D2A5E"/>
    <w:rsid w:val="003E170C"/>
    <w:rsid w:val="003E5B6C"/>
    <w:rsid w:val="003E6887"/>
    <w:rsid w:val="003F01E8"/>
    <w:rsid w:val="003F40B5"/>
    <w:rsid w:val="003F601D"/>
    <w:rsid w:val="00405E89"/>
    <w:rsid w:val="00413C29"/>
    <w:rsid w:val="0041726C"/>
    <w:rsid w:val="00420AB2"/>
    <w:rsid w:val="004222FB"/>
    <w:rsid w:val="00422E59"/>
    <w:rsid w:val="00430088"/>
    <w:rsid w:val="00430A7D"/>
    <w:rsid w:val="00442E11"/>
    <w:rsid w:val="00452C70"/>
    <w:rsid w:val="00457269"/>
    <w:rsid w:val="00457EE6"/>
    <w:rsid w:val="00471DD3"/>
    <w:rsid w:val="00485DD5"/>
    <w:rsid w:val="0048629E"/>
    <w:rsid w:val="00486A11"/>
    <w:rsid w:val="00492867"/>
    <w:rsid w:val="0049361E"/>
    <w:rsid w:val="004A4286"/>
    <w:rsid w:val="004A437B"/>
    <w:rsid w:val="004A5797"/>
    <w:rsid w:val="004B4871"/>
    <w:rsid w:val="004B52C6"/>
    <w:rsid w:val="004C0479"/>
    <w:rsid w:val="004C132F"/>
    <w:rsid w:val="004C354B"/>
    <w:rsid w:val="004D0FED"/>
    <w:rsid w:val="004D131D"/>
    <w:rsid w:val="004D4468"/>
    <w:rsid w:val="004D7ADF"/>
    <w:rsid w:val="004E1E59"/>
    <w:rsid w:val="004E37A0"/>
    <w:rsid w:val="004E4430"/>
    <w:rsid w:val="004E5EA4"/>
    <w:rsid w:val="004F004A"/>
    <w:rsid w:val="004F39C0"/>
    <w:rsid w:val="004F4F37"/>
    <w:rsid w:val="005035F3"/>
    <w:rsid w:val="00503CBB"/>
    <w:rsid w:val="00504129"/>
    <w:rsid w:val="00506108"/>
    <w:rsid w:val="005073B3"/>
    <w:rsid w:val="0051033C"/>
    <w:rsid w:val="005118A4"/>
    <w:rsid w:val="0051263A"/>
    <w:rsid w:val="005166EF"/>
    <w:rsid w:val="00522785"/>
    <w:rsid w:val="00524F9D"/>
    <w:rsid w:val="0052541F"/>
    <w:rsid w:val="0054408A"/>
    <w:rsid w:val="00555F35"/>
    <w:rsid w:val="0056641B"/>
    <w:rsid w:val="0056672E"/>
    <w:rsid w:val="0057776E"/>
    <w:rsid w:val="00595224"/>
    <w:rsid w:val="005960E3"/>
    <w:rsid w:val="00596D41"/>
    <w:rsid w:val="005A0162"/>
    <w:rsid w:val="005A319F"/>
    <w:rsid w:val="005A53FC"/>
    <w:rsid w:val="005B13D6"/>
    <w:rsid w:val="005B13FB"/>
    <w:rsid w:val="005B1D63"/>
    <w:rsid w:val="005B318A"/>
    <w:rsid w:val="005B4939"/>
    <w:rsid w:val="005B5828"/>
    <w:rsid w:val="005B7D6F"/>
    <w:rsid w:val="005C4825"/>
    <w:rsid w:val="005C4ECE"/>
    <w:rsid w:val="005C7922"/>
    <w:rsid w:val="005D2C60"/>
    <w:rsid w:val="005D609D"/>
    <w:rsid w:val="005E339F"/>
    <w:rsid w:val="005F072E"/>
    <w:rsid w:val="005F220D"/>
    <w:rsid w:val="005F2B66"/>
    <w:rsid w:val="0060015B"/>
    <w:rsid w:val="00601888"/>
    <w:rsid w:val="00603E51"/>
    <w:rsid w:val="00604D26"/>
    <w:rsid w:val="00605861"/>
    <w:rsid w:val="006068F1"/>
    <w:rsid w:val="00606CF4"/>
    <w:rsid w:val="00610347"/>
    <w:rsid w:val="006103B1"/>
    <w:rsid w:val="006109BE"/>
    <w:rsid w:val="006142A0"/>
    <w:rsid w:val="00616430"/>
    <w:rsid w:val="00622C30"/>
    <w:rsid w:val="006360D0"/>
    <w:rsid w:val="00641844"/>
    <w:rsid w:val="00643C1A"/>
    <w:rsid w:val="006446AD"/>
    <w:rsid w:val="00646A6F"/>
    <w:rsid w:val="00655280"/>
    <w:rsid w:val="00665AC4"/>
    <w:rsid w:val="00670D0E"/>
    <w:rsid w:val="00671AAA"/>
    <w:rsid w:val="006729CE"/>
    <w:rsid w:val="0067506E"/>
    <w:rsid w:val="0067792D"/>
    <w:rsid w:val="0068119C"/>
    <w:rsid w:val="00682818"/>
    <w:rsid w:val="0068522E"/>
    <w:rsid w:val="00685854"/>
    <w:rsid w:val="0069627A"/>
    <w:rsid w:val="006A06AC"/>
    <w:rsid w:val="006A6E43"/>
    <w:rsid w:val="006A7FC8"/>
    <w:rsid w:val="006B0734"/>
    <w:rsid w:val="006B12E1"/>
    <w:rsid w:val="006C7D28"/>
    <w:rsid w:val="006D369A"/>
    <w:rsid w:val="006D4447"/>
    <w:rsid w:val="006D51BE"/>
    <w:rsid w:val="006E4010"/>
    <w:rsid w:val="006E5D4E"/>
    <w:rsid w:val="006F6807"/>
    <w:rsid w:val="00710CEA"/>
    <w:rsid w:val="00713082"/>
    <w:rsid w:val="00715285"/>
    <w:rsid w:val="00727F71"/>
    <w:rsid w:val="0073217D"/>
    <w:rsid w:val="00732E1F"/>
    <w:rsid w:val="007339DD"/>
    <w:rsid w:val="00733DDB"/>
    <w:rsid w:val="00734744"/>
    <w:rsid w:val="007413AF"/>
    <w:rsid w:val="00743940"/>
    <w:rsid w:val="0074607B"/>
    <w:rsid w:val="00750BFF"/>
    <w:rsid w:val="00751025"/>
    <w:rsid w:val="00753C14"/>
    <w:rsid w:val="00761810"/>
    <w:rsid w:val="00781428"/>
    <w:rsid w:val="00781E6E"/>
    <w:rsid w:val="00782280"/>
    <w:rsid w:val="007836C4"/>
    <w:rsid w:val="00784864"/>
    <w:rsid w:val="007862CB"/>
    <w:rsid w:val="00786FD7"/>
    <w:rsid w:val="00791D0F"/>
    <w:rsid w:val="0079569E"/>
    <w:rsid w:val="00796D9E"/>
    <w:rsid w:val="00796F4A"/>
    <w:rsid w:val="007A5572"/>
    <w:rsid w:val="007A5BBF"/>
    <w:rsid w:val="007A6912"/>
    <w:rsid w:val="007B14FC"/>
    <w:rsid w:val="007B2205"/>
    <w:rsid w:val="007B2D25"/>
    <w:rsid w:val="007B3C3C"/>
    <w:rsid w:val="007B6FEB"/>
    <w:rsid w:val="007C74EF"/>
    <w:rsid w:val="007D4A1F"/>
    <w:rsid w:val="007E009F"/>
    <w:rsid w:val="007E3729"/>
    <w:rsid w:val="007E4E90"/>
    <w:rsid w:val="007F7721"/>
    <w:rsid w:val="00801230"/>
    <w:rsid w:val="00803248"/>
    <w:rsid w:val="0080330A"/>
    <w:rsid w:val="00803774"/>
    <w:rsid w:val="008060F0"/>
    <w:rsid w:val="008129A6"/>
    <w:rsid w:val="0081441E"/>
    <w:rsid w:val="00820B93"/>
    <w:rsid w:val="00822269"/>
    <w:rsid w:val="008414CA"/>
    <w:rsid w:val="00841C1A"/>
    <w:rsid w:val="00852084"/>
    <w:rsid w:val="008536B7"/>
    <w:rsid w:val="00854518"/>
    <w:rsid w:val="00854E46"/>
    <w:rsid w:val="00856091"/>
    <w:rsid w:val="00860DCB"/>
    <w:rsid w:val="00864DAC"/>
    <w:rsid w:val="00870B9A"/>
    <w:rsid w:val="00875EE7"/>
    <w:rsid w:val="00876A60"/>
    <w:rsid w:val="00882801"/>
    <w:rsid w:val="00886D6C"/>
    <w:rsid w:val="0089344D"/>
    <w:rsid w:val="00897EF2"/>
    <w:rsid w:val="008A0BC7"/>
    <w:rsid w:val="008A273F"/>
    <w:rsid w:val="008B35DF"/>
    <w:rsid w:val="008B3AF0"/>
    <w:rsid w:val="008C0E9A"/>
    <w:rsid w:val="008C7111"/>
    <w:rsid w:val="008C792C"/>
    <w:rsid w:val="008D1D61"/>
    <w:rsid w:val="008D57C7"/>
    <w:rsid w:val="008D5BCA"/>
    <w:rsid w:val="008E10B6"/>
    <w:rsid w:val="008E1823"/>
    <w:rsid w:val="008E1B6A"/>
    <w:rsid w:val="008E20A6"/>
    <w:rsid w:val="008E34E6"/>
    <w:rsid w:val="008E4689"/>
    <w:rsid w:val="008E7DB8"/>
    <w:rsid w:val="008F1C9C"/>
    <w:rsid w:val="008F6B88"/>
    <w:rsid w:val="0090252C"/>
    <w:rsid w:val="009174FF"/>
    <w:rsid w:val="00920E6A"/>
    <w:rsid w:val="009258C7"/>
    <w:rsid w:val="00940136"/>
    <w:rsid w:val="00942868"/>
    <w:rsid w:val="009439C0"/>
    <w:rsid w:val="00943DD6"/>
    <w:rsid w:val="00946DE7"/>
    <w:rsid w:val="00953AA1"/>
    <w:rsid w:val="00960A29"/>
    <w:rsid w:val="00963B59"/>
    <w:rsid w:val="00967785"/>
    <w:rsid w:val="009714B6"/>
    <w:rsid w:val="009734C3"/>
    <w:rsid w:val="00975744"/>
    <w:rsid w:val="00976DFE"/>
    <w:rsid w:val="00977062"/>
    <w:rsid w:val="00982ACC"/>
    <w:rsid w:val="00984C4A"/>
    <w:rsid w:val="009854F4"/>
    <w:rsid w:val="00986106"/>
    <w:rsid w:val="00987D10"/>
    <w:rsid w:val="00992494"/>
    <w:rsid w:val="00995911"/>
    <w:rsid w:val="009A1C21"/>
    <w:rsid w:val="009A4D84"/>
    <w:rsid w:val="009B1194"/>
    <w:rsid w:val="009B1F2D"/>
    <w:rsid w:val="009B2BEC"/>
    <w:rsid w:val="009B7918"/>
    <w:rsid w:val="009C30E5"/>
    <w:rsid w:val="009C5C7D"/>
    <w:rsid w:val="009C66BD"/>
    <w:rsid w:val="009C72E8"/>
    <w:rsid w:val="009C7C4F"/>
    <w:rsid w:val="009D0D5F"/>
    <w:rsid w:val="009D4888"/>
    <w:rsid w:val="009D5430"/>
    <w:rsid w:val="009D6CB2"/>
    <w:rsid w:val="009E0C60"/>
    <w:rsid w:val="009E1FF1"/>
    <w:rsid w:val="009E24ED"/>
    <w:rsid w:val="009E2E51"/>
    <w:rsid w:val="009E702A"/>
    <w:rsid w:val="009F519F"/>
    <w:rsid w:val="009F56BD"/>
    <w:rsid w:val="00A11F86"/>
    <w:rsid w:val="00A17964"/>
    <w:rsid w:val="00A230B7"/>
    <w:rsid w:val="00A4004E"/>
    <w:rsid w:val="00A40C9F"/>
    <w:rsid w:val="00A41ACE"/>
    <w:rsid w:val="00A462A5"/>
    <w:rsid w:val="00A52213"/>
    <w:rsid w:val="00A552FC"/>
    <w:rsid w:val="00A621A0"/>
    <w:rsid w:val="00A622BB"/>
    <w:rsid w:val="00A62682"/>
    <w:rsid w:val="00A65230"/>
    <w:rsid w:val="00A66B54"/>
    <w:rsid w:val="00A66FE8"/>
    <w:rsid w:val="00A67336"/>
    <w:rsid w:val="00A702FF"/>
    <w:rsid w:val="00A827BB"/>
    <w:rsid w:val="00A828C8"/>
    <w:rsid w:val="00A96DF7"/>
    <w:rsid w:val="00AA07D0"/>
    <w:rsid w:val="00AA16FE"/>
    <w:rsid w:val="00AA357D"/>
    <w:rsid w:val="00AA55AD"/>
    <w:rsid w:val="00AB03E6"/>
    <w:rsid w:val="00AC4C48"/>
    <w:rsid w:val="00AC4E5F"/>
    <w:rsid w:val="00AC78EA"/>
    <w:rsid w:val="00AD1E65"/>
    <w:rsid w:val="00AD3776"/>
    <w:rsid w:val="00AD517C"/>
    <w:rsid w:val="00AD6230"/>
    <w:rsid w:val="00AE1B10"/>
    <w:rsid w:val="00AF618D"/>
    <w:rsid w:val="00B04AD4"/>
    <w:rsid w:val="00B054AB"/>
    <w:rsid w:val="00B05D54"/>
    <w:rsid w:val="00B072FB"/>
    <w:rsid w:val="00B15C78"/>
    <w:rsid w:val="00B26DB9"/>
    <w:rsid w:val="00B34A52"/>
    <w:rsid w:val="00B35E6F"/>
    <w:rsid w:val="00B40DA2"/>
    <w:rsid w:val="00B45DC1"/>
    <w:rsid w:val="00B472A8"/>
    <w:rsid w:val="00B51CF1"/>
    <w:rsid w:val="00B55B42"/>
    <w:rsid w:val="00B56FA8"/>
    <w:rsid w:val="00B60174"/>
    <w:rsid w:val="00B676D3"/>
    <w:rsid w:val="00B75395"/>
    <w:rsid w:val="00B80A58"/>
    <w:rsid w:val="00B8549A"/>
    <w:rsid w:val="00B90AA7"/>
    <w:rsid w:val="00B90F69"/>
    <w:rsid w:val="00B916D9"/>
    <w:rsid w:val="00B96E8E"/>
    <w:rsid w:val="00BA6A10"/>
    <w:rsid w:val="00BB5849"/>
    <w:rsid w:val="00BB6189"/>
    <w:rsid w:val="00BC12EA"/>
    <w:rsid w:val="00BC1DF6"/>
    <w:rsid w:val="00BC1E02"/>
    <w:rsid w:val="00BD1145"/>
    <w:rsid w:val="00BD310F"/>
    <w:rsid w:val="00BE7450"/>
    <w:rsid w:val="00BF1178"/>
    <w:rsid w:val="00BF5B99"/>
    <w:rsid w:val="00BF7170"/>
    <w:rsid w:val="00C02CD2"/>
    <w:rsid w:val="00C04371"/>
    <w:rsid w:val="00C066E5"/>
    <w:rsid w:val="00C07EEE"/>
    <w:rsid w:val="00C1758B"/>
    <w:rsid w:val="00C2703A"/>
    <w:rsid w:val="00C42523"/>
    <w:rsid w:val="00C44309"/>
    <w:rsid w:val="00C45C03"/>
    <w:rsid w:val="00C46AF7"/>
    <w:rsid w:val="00C51C7A"/>
    <w:rsid w:val="00C60425"/>
    <w:rsid w:val="00C6147B"/>
    <w:rsid w:val="00C618EE"/>
    <w:rsid w:val="00C62203"/>
    <w:rsid w:val="00C6664E"/>
    <w:rsid w:val="00C669A6"/>
    <w:rsid w:val="00C67F0C"/>
    <w:rsid w:val="00C70DA2"/>
    <w:rsid w:val="00C74519"/>
    <w:rsid w:val="00C76936"/>
    <w:rsid w:val="00C76B78"/>
    <w:rsid w:val="00C811A6"/>
    <w:rsid w:val="00C81220"/>
    <w:rsid w:val="00C813EC"/>
    <w:rsid w:val="00C923FF"/>
    <w:rsid w:val="00C94F18"/>
    <w:rsid w:val="00C97D88"/>
    <w:rsid w:val="00CA1500"/>
    <w:rsid w:val="00CA2369"/>
    <w:rsid w:val="00CA4324"/>
    <w:rsid w:val="00CA6C6F"/>
    <w:rsid w:val="00CA7402"/>
    <w:rsid w:val="00CB0A25"/>
    <w:rsid w:val="00CB0EB9"/>
    <w:rsid w:val="00CB488B"/>
    <w:rsid w:val="00CC0480"/>
    <w:rsid w:val="00CC23F7"/>
    <w:rsid w:val="00CC7149"/>
    <w:rsid w:val="00CC7684"/>
    <w:rsid w:val="00CD08A3"/>
    <w:rsid w:val="00CD0AB2"/>
    <w:rsid w:val="00CD3202"/>
    <w:rsid w:val="00CD3B10"/>
    <w:rsid w:val="00CD3EC5"/>
    <w:rsid w:val="00CD4826"/>
    <w:rsid w:val="00CD66E8"/>
    <w:rsid w:val="00CD7591"/>
    <w:rsid w:val="00CE46B5"/>
    <w:rsid w:val="00CF3DA5"/>
    <w:rsid w:val="00CF3EBA"/>
    <w:rsid w:val="00D01E85"/>
    <w:rsid w:val="00D13C25"/>
    <w:rsid w:val="00D14DCC"/>
    <w:rsid w:val="00D14E9B"/>
    <w:rsid w:val="00D16F36"/>
    <w:rsid w:val="00D2671A"/>
    <w:rsid w:val="00D31C49"/>
    <w:rsid w:val="00D31DD5"/>
    <w:rsid w:val="00D344A0"/>
    <w:rsid w:val="00D43168"/>
    <w:rsid w:val="00D44223"/>
    <w:rsid w:val="00D47E56"/>
    <w:rsid w:val="00D50881"/>
    <w:rsid w:val="00D5420C"/>
    <w:rsid w:val="00D545B7"/>
    <w:rsid w:val="00D5487B"/>
    <w:rsid w:val="00D55A5A"/>
    <w:rsid w:val="00D55DA4"/>
    <w:rsid w:val="00D571ED"/>
    <w:rsid w:val="00D5734C"/>
    <w:rsid w:val="00D602BF"/>
    <w:rsid w:val="00D61149"/>
    <w:rsid w:val="00D62DA9"/>
    <w:rsid w:val="00D6334C"/>
    <w:rsid w:val="00D648FE"/>
    <w:rsid w:val="00D65113"/>
    <w:rsid w:val="00D669CB"/>
    <w:rsid w:val="00D71052"/>
    <w:rsid w:val="00D80898"/>
    <w:rsid w:val="00D810D5"/>
    <w:rsid w:val="00D852F4"/>
    <w:rsid w:val="00D87DA2"/>
    <w:rsid w:val="00D91313"/>
    <w:rsid w:val="00D9635B"/>
    <w:rsid w:val="00D97F5F"/>
    <w:rsid w:val="00DA00B7"/>
    <w:rsid w:val="00DA58BC"/>
    <w:rsid w:val="00DB2795"/>
    <w:rsid w:val="00DC07F3"/>
    <w:rsid w:val="00DC2DB5"/>
    <w:rsid w:val="00DD3D8C"/>
    <w:rsid w:val="00DE34B8"/>
    <w:rsid w:val="00DE3897"/>
    <w:rsid w:val="00DF1A50"/>
    <w:rsid w:val="00DF37E2"/>
    <w:rsid w:val="00DF3AA9"/>
    <w:rsid w:val="00E05936"/>
    <w:rsid w:val="00E105F8"/>
    <w:rsid w:val="00E13AD2"/>
    <w:rsid w:val="00E15BB0"/>
    <w:rsid w:val="00E215C3"/>
    <w:rsid w:val="00E23E5F"/>
    <w:rsid w:val="00E25880"/>
    <w:rsid w:val="00E27268"/>
    <w:rsid w:val="00E31B3A"/>
    <w:rsid w:val="00E353FA"/>
    <w:rsid w:val="00E432EA"/>
    <w:rsid w:val="00E456A7"/>
    <w:rsid w:val="00E50353"/>
    <w:rsid w:val="00E55A65"/>
    <w:rsid w:val="00E60FB5"/>
    <w:rsid w:val="00E653AB"/>
    <w:rsid w:val="00E718F3"/>
    <w:rsid w:val="00E73183"/>
    <w:rsid w:val="00E7671A"/>
    <w:rsid w:val="00E773C3"/>
    <w:rsid w:val="00E81588"/>
    <w:rsid w:val="00E8203A"/>
    <w:rsid w:val="00E84609"/>
    <w:rsid w:val="00E87BC7"/>
    <w:rsid w:val="00E9122D"/>
    <w:rsid w:val="00E921A0"/>
    <w:rsid w:val="00E94EEB"/>
    <w:rsid w:val="00EA5CEA"/>
    <w:rsid w:val="00EA675A"/>
    <w:rsid w:val="00EB7E07"/>
    <w:rsid w:val="00EC0CCF"/>
    <w:rsid w:val="00EC16D7"/>
    <w:rsid w:val="00EC2D9A"/>
    <w:rsid w:val="00EC3D41"/>
    <w:rsid w:val="00EC4D14"/>
    <w:rsid w:val="00EC5F49"/>
    <w:rsid w:val="00ED19EF"/>
    <w:rsid w:val="00ED1D42"/>
    <w:rsid w:val="00ED2A66"/>
    <w:rsid w:val="00ED44C7"/>
    <w:rsid w:val="00EE003E"/>
    <w:rsid w:val="00EF1D14"/>
    <w:rsid w:val="00EF51EB"/>
    <w:rsid w:val="00EF5A22"/>
    <w:rsid w:val="00EF5A89"/>
    <w:rsid w:val="00EF6BA9"/>
    <w:rsid w:val="00F00154"/>
    <w:rsid w:val="00F0122E"/>
    <w:rsid w:val="00F03067"/>
    <w:rsid w:val="00F03707"/>
    <w:rsid w:val="00F03D93"/>
    <w:rsid w:val="00F0438C"/>
    <w:rsid w:val="00F057B2"/>
    <w:rsid w:val="00F05E8E"/>
    <w:rsid w:val="00F11425"/>
    <w:rsid w:val="00F124AB"/>
    <w:rsid w:val="00F13CD9"/>
    <w:rsid w:val="00F141A1"/>
    <w:rsid w:val="00F1541B"/>
    <w:rsid w:val="00F17A9C"/>
    <w:rsid w:val="00F22226"/>
    <w:rsid w:val="00F2450E"/>
    <w:rsid w:val="00F24C48"/>
    <w:rsid w:val="00F3208C"/>
    <w:rsid w:val="00F514CA"/>
    <w:rsid w:val="00F51871"/>
    <w:rsid w:val="00F53BA6"/>
    <w:rsid w:val="00F6345B"/>
    <w:rsid w:val="00F660DA"/>
    <w:rsid w:val="00F701D6"/>
    <w:rsid w:val="00F74B4B"/>
    <w:rsid w:val="00F74D05"/>
    <w:rsid w:val="00F753D3"/>
    <w:rsid w:val="00F7701D"/>
    <w:rsid w:val="00F81517"/>
    <w:rsid w:val="00F823A8"/>
    <w:rsid w:val="00F849A3"/>
    <w:rsid w:val="00F90111"/>
    <w:rsid w:val="00F9162E"/>
    <w:rsid w:val="00F9635D"/>
    <w:rsid w:val="00F969B8"/>
    <w:rsid w:val="00FA1C0A"/>
    <w:rsid w:val="00FA38CB"/>
    <w:rsid w:val="00FA4EE6"/>
    <w:rsid w:val="00FA6BE1"/>
    <w:rsid w:val="00FA71D1"/>
    <w:rsid w:val="00FB0C08"/>
    <w:rsid w:val="00FB0D34"/>
    <w:rsid w:val="00FB3310"/>
    <w:rsid w:val="00FB3832"/>
    <w:rsid w:val="00FB66ED"/>
    <w:rsid w:val="00FB6D97"/>
    <w:rsid w:val="00FB7536"/>
    <w:rsid w:val="00FC09F9"/>
    <w:rsid w:val="00FC44B7"/>
    <w:rsid w:val="00FD0EDE"/>
    <w:rsid w:val="00FD20D9"/>
    <w:rsid w:val="00FD466E"/>
    <w:rsid w:val="00FD5517"/>
    <w:rsid w:val="00FD5D06"/>
    <w:rsid w:val="00FE25F2"/>
    <w:rsid w:val="00FE2938"/>
    <w:rsid w:val="00FE6166"/>
    <w:rsid w:val="00FF0A18"/>
    <w:rsid w:val="00FF0D24"/>
    <w:rsid w:val="00FF0F24"/>
    <w:rsid w:val="00FF3FD0"/>
    <w:rsid w:val="04E55BF3"/>
    <w:rsid w:val="054A34CE"/>
    <w:rsid w:val="055F0B68"/>
    <w:rsid w:val="05B638DA"/>
    <w:rsid w:val="05F34DAE"/>
    <w:rsid w:val="06E66B61"/>
    <w:rsid w:val="06F225F8"/>
    <w:rsid w:val="08AC0E4A"/>
    <w:rsid w:val="08E45CBC"/>
    <w:rsid w:val="08EA0F40"/>
    <w:rsid w:val="0A9C626E"/>
    <w:rsid w:val="0AC95FE0"/>
    <w:rsid w:val="0C9E03F0"/>
    <w:rsid w:val="0CEE043D"/>
    <w:rsid w:val="0E0D4E64"/>
    <w:rsid w:val="0F1318E6"/>
    <w:rsid w:val="10453D96"/>
    <w:rsid w:val="11FF2E9F"/>
    <w:rsid w:val="125E77ED"/>
    <w:rsid w:val="12717087"/>
    <w:rsid w:val="148B19FF"/>
    <w:rsid w:val="156730F3"/>
    <w:rsid w:val="16B540C0"/>
    <w:rsid w:val="18BF0D4E"/>
    <w:rsid w:val="18BF1AC5"/>
    <w:rsid w:val="191928D5"/>
    <w:rsid w:val="1CD24BFA"/>
    <w:rsid w:val="1F681B58"/>
    <w:rsid w:val="1FA43633"/>
    <w:rsid w:val="1FD45493"/>
    <w:rsid w:val="217B7BD9"/>
    <w:rsid w:val="24EF5FEF"/>
    <w:rsid w:val="26756331"/>
    <w:rsid w:val="2A101E5A"/>
    <w:rsid w:val="2C7C6A27"/>
    <w:rsid w:val="2CE15EA6"/>
    <w:rsid w:val="2D480A38"/>
    <w:rsid w:val="2DC247AF"/>
    <w:rsid w:val="2EAC0BD1"/>
    <w:rsid w:val="2F710394"/>
    <w:rsid w:val="30925404"/>
    <w:rsid w:val="31597F2D"/>
    <w:rsid w:val="319F3E1D"/>
    <w:rsid w:val="326C29A2"/>
    <w:rsid w:val="32782BE4"/>
    <w:rsid w:val="33D60D2F"/>
    <w:rsid w:val="35253B66"/>
    <w:rsid w:val="3568365B"/>
    <w:rsid w:val="358478F7"/>
    <w:rsid w:val="369B382E"/>
    <w:rsid w:val="371428EB"/>
    <w:rsid w:val="376902BF"/>
    <w:rsid w:val="38470D26"/>
    <w:rsid w:val="38E106BF"/>
    <w:rsid w:val="3B643A44"/>
    <w:rsid w:val="3B780459"/>
    <w:rsid w:val="3C31732C"/>
    <w:rsid w:val="3C802227"/>
    <w:rsid w:val="3DCFD815"/>
    <w:rsid w:val="3EEC4358"/>
    <w:rsid w:val="3F5A1719"/>
    <w:rsid w:val="40133EE2"/>
    <w:rsid w:val="401A41F8"/>
    <w:rsid w:val="416D793E"/>
    <w:rsid w:val="45226508"/>
    <w:rsid w:val="466A4E7F"/>
    <w:rsid w:val="47217A6D"/>
    <w:rsid w:val="472C6172"/>
    <w:rsid w:val="489932CF"/>
    <w:rsid w:val="4AC4799F"/>
    <w:rsid w:val="4CE75CD5"/>
    <w:rsid w:val="4F466A70"/>
    <w:rsid w:val="502F1AD4"/>
    <w:rsid w:val="503F4902"/>
    <w:rsid w:val="505B3554"/>
    <w:rsid w:val="50AC3CAD"/>
    <w:rsid w:val="5339160A"/>
    <w:rsid w:val="557D6FB8"/>
    <w:rsid w:val="56BA644D"/>
    <w:rsid w:val="574D2BFB"/>
    <w:rsid w:val="57CF2BC1"/>
    <w:rsid w:val="591977A1"/>
    <w:rsid w:val="5AF15601"/>
    <w:rsid w:val="5BC26681"/>
    <w:rsid w:val="5C935CF6"/>
    <w:rsid w:val="5D2B3898"/>
    <w:rsid w:val="5D964ACF"/>
    <w:rsid w:val="5F394AAD"/>
    <w:rsid w:val="5F7EAD95"/>
    <w:rsid w:val="61A54EB5"/>
    <w:rsid w:val="62632C13"/>
    <w:rsid w:val="62F83699"/>
    <w:rsid w:val="656E4AA4"/>
    <w:rsid w:val="658F52FE"/>
    <w:rsid w:val="678023B4"/>
    <w:rsid w:val="67974D23"/>
    <w:rsid w:val="689F5C8D"/>
    <w:rsid w:val="6A683E7D"/>
    <w:rsid w:val="6B241317"/>
    <w:rsid w:val="6B5F5772"/>
    <w:rsid w:val="6B913E9C"/>
    <w:rsid w:val="6F27226F"/>
    <w:rsid w:val="6F5E06D9"/>
    <w:rsid w:val="6F6427C3"/>
    <w:rsid w:val="70636762"/>
    <w:rsid w:val="70D217C3"/>
    <w:rsid w:val="713E2FE7"/>
    <w:rsid w:val="717A0B5C"/>
    <w:rsid w:val="71AD3BA4"/>
    <w:rsid w:val="721E6CBF"/>
    <w:rsid w:val="72946E92"/>
    <w:rsid w:val="73284028"/>
    <w:rsid w:val="73EA30DF"/>
    <w:rsid w:val="74823C47"/>
    <w:rsid w:val="759262DC"/>
    <w:rsid w:val="77757A25"/>
    <w:rsid w:val="79990825"/>
    <w:rsid w:val="7A076ACE"/>
    <w:rsid w:val="7AB5523C"/>
    <w:rsid w:val="7ABC164E"/>
    <w:rsid w:val="7AF32878"/>
    <w:rsid w:val="7AFE19E8"/>
    <w:rsid w:val="7B6570EC"/>
    <w:rsid w:val="7BFFF2A1"/>
    <w:rsid w:val="7CA00B7E"/>
    <w:rsid w:val="7D7144B7"/>
    <w:rsid w:val="7F371E08"/>
    <w:rsid w:val="7FA47561"/>
    <w:rsid w:val="BDF6B614"/>
    <w:rsid w:val="BF479364"/>
    <w:rsid w:val="D7E75B2F"/>
    <w:rsid w:val="DFBFE893"/>
    <w:rsid w:val="EDBD3B5D"/>
    <w:rsid w:val="F9FB3DF6"/>
    <w:rsid w:val="FBEEC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next w:val="1"/>
    <w:unhideWhenUsed/>
    <w:qFormat/>
    <w:uiPriority w:val="0"/>
    <w:pPr>
      <w:widowControl w:val="0"/>
      <w:ind w:left="1400" w:leftChars="1400"/>
      <w:jc w:val="both"/>
    </w:pPr>
    <w:rPr>
      <w:rFonts w:eastAsia="方正仿宋_GBK"/>
      <w:kern w:val="2"/>
      <w:sz w:val="32"/>
      <w:lang w:val="en-US" w:eastAsia="zh-CN" w:bidi="ar-SA"/>
    </w:rPr>
  </w:style>
  <w:style w:type="paragraph" w:styleId="3">
    <w:name w:val="Body Text"/>
    <w:basedOn w:val="1"/>
    <w:next w:val="4"/>
    <w:link w:val="15"/>
    <w:qFormat/>
    <w:uiPriority w:val="0"/>
    <w:pPr>
      <w:spacing w:after="120"/>
    </w:pPr>
    <w:rPr>
      <w:rFonts w:ascii="Calibri" w:hAnsi="Calibri" w:eastAsia="宋体"/>
      <w:sz w:val="21"/>
      <w:szCs w:val="24"/>
    </w:rPr>
  </w:style>
  <w:style w:type="paragraph" w:styleId="4">
    <w:name w:val="Body Text First Indent"/>
    <w:next w:val="5"/>
    <w:qFormat/>
    <w:uiPriority w:val="0"/>
    <w:pPr>
      <w:widowControl w:val="0"/>
      <w:spacing w:after="120"/>
      <w:ind w:firstLine="420" w:firstLineChars="100"/>
      <w:jc w:val="both"/>
    </w:pPr>
    <w:rPr>
      <w:rFonts w:eastAsia="方正仿宋_GBK"/>
      <w:kern w:val="2"/>
      <w:sz w:val="32"/>
      <w:szCs w:val="24"/>
      <w:lang w:val="en-US" w:eastAsia="zh-CN" w:bidi="ar-SA"/>
    </w:rPr>
  </w:style>
  <w:style w:type="paragraph" w:styleId="5">
    <w:name w:val="Plain Text"/>
    <w:next w:val="2"/>
    <w:qFormat/>
    <w:uiPriority w:val="99"/>
    <w:pPr>
      <w:widowControl w:val="0"/>
      <w:ind w:firstLine="200" w:firstLineChars="200"/>
      <w:jc w:val="both"/>
    </w:pPr>
    <w:rPr>
      <w:rFonts w:ascii="方正黑体_GBK" w:hAnsi="方正黑体_GBK" w:eastAsia="方正仿宋_GBK"/>
      <w:kern w:val="2"/>
      <w:sz w:val="32"/>
      <w:lang w:val="en-US" w:eastAsia="zh-CN" w:bidi="ar-SA"/>
    </w:rPr>
  </w:style>
  <w:style w:type="paragraph" w:styleId="6">
    <w:name w:val="toc 5"/>
    <w:basedOn w:val="1"/>
    <w:next w:val="1"/>
    <w:unhideWhenUsed/>
    <w:qFormat/>
    <w:uiPriority w:val="39"/>
    <w:pPr>
      <w:ind w:firstLine="480" w:firstLineChars="200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page number"/>
    <w:uiPriority w:val="0"/>
  </w:style>
  <w:style w:type="character" w:customStyle="1" w:styleId="15">
    <w:name w:val="正文文本 字符"/>
    <w:link w:val="3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16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9</Pages>
  <Words>1455</Words>
  <Characters>8295</Characters>
  <Lines>69</Lines>
  <Paragraphs>19</Paragraphs>
  <TotalTime>4</TotalTime>
  <ScaleCrop>false</ScaleCrop>
  <LinksUpToDate>false</LinksUpToDate>
  <CharactersWithSpaces>9731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2020-04-17T15:55:00Z</dcterms:created>
  <dc:creator>HP</dc:creator>
  <cp:lastModifiedBy> </cp:lastModifiedBy>
  <cp:lastPrinted>2024-02-05T10:39:00Z</cp:lastPrinted>
  <dcterms:modified xsi:type="dcterms:W3CDTF">2025-03-17T17:31:43Z</dcterms:modified>
  <dc:title>重庆市永川区人民政府办公室</dc:title>
  <cp:revision>278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022B9F80E290D8C8FFEBD7678F76CF08</vt:lpwstr>
  </property>
</Properties>
</file>