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w:t>
      </w:r>
      <w:r>
        <w:rPr>
          <w:rFonts w:hint="eastAsia" w:ascii="Times New Roman" w:hAnsi="Times New Roman" w:eastAsia="方正小标宋_GBK" w:cs="Times New Roman"/>
          <w:sz w:val="44"/>
          <w:szCs w:val="44"/>
          <w:lang w:eastAsia="zh-CN"/>
        </w:rPr>
        <w:t>永荣</w:t>
      </w:r>
      <w:r>
        <w:rPr>
          <w:rFonts w:hint="default" w:ascii="Times New Roman" w:hAnsi="Times New Roman" w:eastAsia="方正小标宋_GBK" w:cs="Times New Roman"/>
          <w:sz w:val="44"/>
          <w:szCs w:val="44"/>
          <w:lang w:eastAsia="zh-CN"/>
        </w:rPr>
        <w:t>镇</w:t>
      </w:r>
      <w:r>
        <w:rPr>
          <w:rFonts w:hint="default" w:ascii="Times New Roman" w:hAnsi="Times New Roman" w:eastAsia="方正小标宋_GBK" w:cs="Times New Roman"/>
          <w:sz w:val="44"/>
          <w:szCs w:val="44"/>
        </w:rPr>
        <w:t>文化服务中心</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2023</w:t>
      </w:r>
      <w:r>
        <w:rPr>
          <w:rFonts w:hint="default" w:ascii="Times New Roman" w:hAnsi="Times New Roman" w:eastAsia="方正小标宋_GBK" w:cs="Times New Roman"/>
          <w:sz w:val="44"/>
          <w:szCs w:val="44"/>
        </w:rPr>
        <w:t>年度部门决算情况说明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（一）职能职责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exact"/>
        <w:ind w:left="0" w:right="0" w:firstLine="620" w:firstLineChars="200"/>
        <w:jc w:val="left"/>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333333"/>
          <w:spacing w:val="0"/>
          <w:sz w:val="31"/>
          <w:szCs w:val="31"/>
        </w:rPr>
        <w:t>重庆市永川区</w:t>
      </w:r>
      <w:r>
        <w:rPr>
          <w:rFonts w:hint="eastAsia" w:ascii="Times New Roman" w:hAnsi="Times New Roman" w:eastAsia="方正仿宋_GBK" w:cs="Times New Roman"/>
          <w:i w:val="0"/>
          <w:iCs w:val="0"/>
          <w:caps w:val="0"/>
          <w:color w:val="333333"/>
          <w:spacing w:val="0"/>
          <w:sz w:val="31"/>
          <w:szCs w:val="31"/>
          <w:lang w:eastAsia="zh-CN"/>
        </w:rPr>
        <w:t>永荣</w:t>
      </w:r>
      <w:r>
        <w:rPr>
          <w:rFonts w:hint="default" w:ascii="Times New Roman" w:hAnsi="Times New Roman" w:eastAsia="方正仿宋_GBK" w:cs="Times New Roman"/>
          <w:i w:val="0"/>
          <w:iCs w:val="0"/>
          <w:caps w:val="0"/>
          <w:color w:val="333333"/>
          <w:spacing w:val="0"/>
          <w:sz w:val="31"/>
          <w:szCs w:val="31"/>
          <w:lang w:eastAsia="zh-CN"/>
        </w:rPr>
        <w:t>镇</w:t>
      </w:r>
      <w:r>
        <w:rPr>
          <w:rFonts w:hint="default" w:ascii="Times New Roman" w:hAnsi="Times New Roman" w:eastAsia="方正仿宋_GBK" w:cs="Times New Roman"/>
          <w:i w:val="0"/>
          <w:iCs w:val="0"/>
          <w:caps w:val="0"/>
          <w:color w:val="333333"/>
          <w:spacing w:val="0"/>
          <w:sz w:val="31"/>
          <w:szCs w:val="31"/>
        </w:rPr>
        <w:t>文化服务中心位于</w:t>
      </w:r>
      <w:r>
        <w:rPr>
          <w:rFonts w:hint="eastAsia" w:ascii="Times New Roman" w:hAnsi="Times New Roman" w:eastAsia="方正仿宋_GBK" w:cs="Times New Roman"/>
          <w:i w:val="0"/>
          <w:iCs w:val="0"/>
          <w:caps w:val="0"/>
          <w:color w:val="333333"/>
          <w:spacing w:val="0"/>
          <w:sz w:val="31"/>
          <w:szCs w:val="31"/>
          <w:lang w:eastAsia="zh-CN"/>
        </w:rPr>
        <w:t>永荣</w:t>
      </w:r>
      <w:r>
        <w:rPr>
          <w:rFonts w:hint="default" w:ascii="Times New Roman" w:hAnsi="Times New Roman" w:eastAsia="方正仿宋_GBK" w:cs="Times New Roman"/>
          <w:i w:val="0"/>
          <w:iCs w:val="0"/>
          <w:caps w:val="0"/>
          <w:color w:val="333333"/>
          <w:spacing w:val="0"/>
          <w:sz w:val="31"/>
          <w:szCs w:val="31"/>
          <w:lang w:eastAsia="zh-CN"/>
        </w:rPr>
        <w:t>镇</w:t>
      </w:r>
      <w:r>
        <w:rPr>
          <w:rFonts w:hint="eastAsia" w:ascii="Times New Roman" w:hAnsi="Times New Roman" w:eastAsia="方正仿宋_GBK" w:cs="Times New Roman"/>
          <w:i w:val="0"/>
          <w:iCs w:val="0"/>
          <w:caps w:val="0"/>
          <w:color w:val="333333"/>
          <w:spacing w:val="0"/>
          <w:sz w:val="31"/>
          <w:szCs w:val="31"/>
          <w:lang w:val="en-US" w:eastAsia="zh-CN"/>
        </w:rPr>
        <w:t>永兴老街70</w:t>
      </w:r>
      <w:r>
        <w:rPr>
          <w:rFonts w:hint="default" w:ascii="Times New Roman" w:hAnsi="Times New Roman" w:eastAsia="方正仿宋_GBK" w:cs="Times New Roman"/>
          <w:i w:val="0"/>
          <w:iCs w:val="0"/>
          <w:caps w:val="0"/>
          <w:color w:val="333333"/>
          <w:spacing w:val="0"/>
          <w:sz w:val="31"/>
          <w:szCs w:val="31"/>
          <w:lang w:val="en-US" w:eastAsia="zh-CN"/>
        </w:rPr>
        <w:t>号</w:t>
      </w:r>
      <w:r>
        <w:rPr>
          <w:rFonts w:hint="default" w:ascii="Times New Roman" w:hAnsi="Times New Roman" w:eastAsia="方正仿宋_GBK" w:cs="Times New Roman"/>
          <w:i w:val="0"/>
          <w:iCs w:val="0"/>
          <w:caps w:val="0"/>
          <w:color w:val="333333"/>
          <w:spacing w:val="0"/>
          <w:sz w:val="31"/>
          <w:szCs w:val="31"/>
        </w:rPr>
        <w:t>，负责文化娱乐、文化宣传、文化推广、文化遗产、</w:t>
      </w:r>
      <w:bookmarkStart w:id="0" w:name="_GoBack"/>
      <w:bookmarkEnd w:id="0"/>
      <w:r>
        <w:rPr>
          <w:rFonts w:hint="default" w:ascii="Times New Roman" w:hAnsi="Times New Roman" w:eastAsia="方正仿宋_GBK" w:cs="Times New Roman"/>
          <w:i w:val="0"/>
          <w:iCs w:val="0"/>
          <w:caps w:val="0"/>
          <w:color w:val="333333"/>
          <w:spacing w:val="0"/>
          <w:sz w:val="31"/>
          <w:szCs w:val="31"/>
        </w:rPr>
        <w:t>文物保护、电影、广播电视、体育、科技、旅游等文化和旅游方面的事务性服务工作。</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（二）机构设置</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本单位内设机构1个。机构类别为公益一类，经费形式为财政全额拨款。</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年度收入总计</w:t>
      </w:r>
      <w:r>
        <w:rPr>
          <w:rFonts w:hint="eastAsia" w:ascii="Times New Roman" w:hAnsi="Times New Roman" w:eastAsia="方正仿宋_GBK" w:cs="Times New Roman"/>
          <w:sz w:val="32"/>
          <w:szCs w:val="32"/>
          <w:lang w:val="en-US" w:eastAsia="zh-CN"/>
        </w:rPr>
        <w:t>65.45</w:t>
      </w:r>
      <w:r>
        <w:rPr>
          <w:rFonts w:hint="default" w:ascii="Times New Roman" w:hAnsi="Times New Roman" w:eastAsia="方正仿宋_GBK" w:cs="Times New Roman"/>
          <w:sz w:val="32"/>
          <w:szCs w:val="32"/>
        </w:rPr>
        <w:t>万元，支出总计</w:t>
      </w:r>
      <w:r>
        <w:rPr>
          <w:rFonts w:hint="eastAsia" w:ascii="Times New Roman" w:hAnsi="Times New Roman" w:eastAsia="方正仿宋_GBK" w:cs="Times New Roman"/>
          <w:sz w:val="32"/>
          <w:szCs w:val="32"/>
          <w:lang w:val="en-US" w:eastAsia="zh-CN"/>
        </w:rPr>
        <w:t>65.45</w:t>
      </w:r>
      <w:r>
        <w:rPr>
          <w:rFonts w:hint="default" w:ascii="Times New Roman" w:hAnsi="Times New Roman" w:eastAsia="方正仿宋_GBK" w:cs="Times New Roman"/>
          <w:sz w:val="32"/>
          <w:szCs w:val="32"/>
        </w:rPr>
        <w:t>万元。收支较上年决算数</w:t>
      </w:r>
      <w:r>
        <w:rPr>
          <w:rFonts w:hint="eastAsia" w:ascii="Times New Roman" w:hAnsi="Times New Roman" w:eastAsia="方正仿宋_GBK" w:cs="Times New Roman"/>
          <w:sz w:val="32"/>
          <w:szCs w:val="32"/>
          <w:lang w:val="en-US" w:eastAsia="zh-CN"/>
        </w:rPr>
        <w:t>减少6.85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下降9.48</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超额绩效未列支完，调剂用于保障基本工资</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 2.收入情况。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年度收入合计</w:t>
      </w:r>
      <w:r>
        <w:rPr>
          <w:rFonts w:hint="eastAsia" w:ascii="Times New Roman" w:hAnsi="Times New Roman" w:eastAsia="方正仿宋_GBK" w:cs="Times New Roman"/>
          <w:sz w:val="32"/>
          <w:szCs w:val="32"/>
          <w:lang w:val="en-US" w:eastAsia="zh-CN"/>
        </w:rPr>
        <w:t>65.45</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减少6.85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下降9.48</w:t>
      </w:r>
      <w:r>
        <w:rPr>
          <w:rFonts w:hint="default" w:ascii="Times New Roman" w:hAnsi="Times New Roman" w:eastAsia="方正仿宋_GBK" w:cs="Times New Roman"/>
          <w:sz w:val="32"/>
          <w:szCs w:val="32"/>
        </w:rPr>
        <w:t>%，主要原因是本本单位</w:t>
      </w:r>
      <w:r>
        <w:rPr>
          <w:rFonts w:hint="eastAsia" w:ascii="Times New Roman" w:hAnsi="Times New Roman" w:eastAsia="方正仿宋_GBK" w:cs="Times New Roman"/>
          <w:sz w:val="32"/>
          <w:szCs w:val="32"/>
          <w:lang w:val="en-US" w:eastAsia="zh-CN"/>
        </w:rPr>
        <w:t>超额绩效未列支完，调剂用于保障基本工资</w:t>
      </w:r>
      <w:r>
        <w:rPr>
          <w:rFonts w:hint="default" w:ascii="Times New Roman" w:hAnsi="Times New Roman" w:eastAsia="方正仿宋_GBK" w:cs="Times New Roman"/>
          <w:sz w:val="32"/>
          <w:szCs w:val="32"/>
        </w:rPr>
        <w:t>。其中：财政拨款收入</w:t>
      </w:r>
      <w:r>
        <w:rPr>
          <w:rFonts w:hint="eastAsia" w:ascii="Times New Roman" w:hAnsi="Times New Roman" w:eastAsia="方正仿宋_GBK" w:cs="Times New Roman"/>
          <w:sz w:val="32"/>
          <w:szCs w:val="32"/>
          <w:lang w:val="en-US" w:eastAsia="zh-CN"/>
        </w:rPr>
        <w:t>65.45</w:t>
      </w:r>
      <w:r>
        <w:rPr>
          <w:rFonts w:hint="default" w:ascii="Times New Roman" w:hAnsi="Times New Roman" w:eastAsia="方正仿宋_GBK" w:cs="Times New Roman"/>
          <w:sz w:val="32"/>
          <w:szCs w:val="32"/>
        </w:rPr>
        <w:t>万元，占100%。</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 3.支出情况。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年度支出合计</w:t>
      </w:r>
      <w:r>
        <w:rPr>
          <w:rFonts w:hint="eastAsia" w:ascii="Times New Roman" w:hAnsi="Times New Roman" w:eastAsia="方正仿宋_GBK" w:cs="Times New Roman"/>
          <w:sz w:val="32"/>
          <w:szCs w:val="32"/>
          <w:lang w:val="en-US" w:eastAsia="zh-CN"/>
        </w:rPr>
        <w:t>65.45</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减少6.85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下降9.48</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超额绩效未列支完，调剂用于保障基本工资。</w:t>
      </w:r>
      <w:r>
        <w:rPr>
          <w:rFonts w:hint="default" w:ascii="Times New Roman" w:hAnsi="Times New Roman" w:eastAsia="方正仿宋_GBK" w:cs="Times New Roman"/>
          <w:sz w:val="32"/>
          <w:szCs w:val="32"/>
        </w:rPr>
        <w:t>其中：基本支出</w:t>
      </w:r>
      <w:r>
        <w:rPr>
          <w:rFonts w:hint="eastAsia" w:ascii="Times New Roman" w:hAnsi="Times New Roman" w:eastAsia="方正仿宋_GBK" w:cs="Times New Roman"/>
          <w:sz w:val="32"/>
          <w:szCs w:val="32"/>
          <w:lang w:val="en-US" w:eastAsia="zh-CN"/>
        </w:rPr>
        <w:t>65.45</w:t>
      </w:r>
      <w:r>
        <w:rPr>
          <w:rFonts w:hint="default" w:ascii="Times New Roman" w:hAnsi="Times New Roman" w:eastAsia="方正仿宋_GBK" w:cs="Times New Roman"/>
          <w:sz w:val="32"/>
          <w:szCs w:val="32"/>
        </w:rPr>
        <w:t>万元，占100.0%。</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4.结转结余情况。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年度年末结转和结余0万元，较上年决算数增加0万元，增长100.0%，主要原因是本单位无结转结余。</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年度财政拨款收、支总计</w:t>
      </w:r>
      <w:r>
        <w:rPr>
          <w:rFonts w:hint="eastAsia" w:ascii="Times New Roman" w:hAnsi="Times New Roman" w:eastAsia="方正仿宋_GBK" w:cs="Times New Roman"/>
          <w:sz w:val="32"/>
          <w:szCs w:val="32"/>
          <w:lang w:val="en-US" w:eastAsia="zh-CN"/>
        </w:rPr>
        <w:t>65.45</w:t>
      </w:r>
      <w:r>
        <w:rPr>
          <w:rFonts w:hint="default"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年相比，财政拨款收、支总计各</w:t>
      </w:r>
      <w:r>
        <w:rPr>
          <w:rFonts w:hint="eastAsia" w:ascii="Times New Roman" w:hAnsi="Times New Roman" w:eastAsia="方正仿宋_GBK" w:cs="Times New Roman"/>
          <w:sz w:val="32"/>
          <w:szCs w:val="32"/>
          <w:lang w:val="en-US" w:eastAsia="zh-CN"/>
        </w:rPr>
        <w:t>减少6.85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下降9.48</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超额绩效未列支完，调剂用于保障基本工资。</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  1.收入情况。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年度一般公共预算财政拨款收入</w:t>
      </w:r>
      <w:r>
        <w:rPr>
          <w:rFonts w:hint="eastAsia" w:ascii="Times New Roman" w:hAnsi="Times New Roman" w:eastAsia="方正仿宋_GBK" w:cs="Times New Roman"/>
          <w:sz w:val="32"/>
          <w:szCs w:val="32"/>
          <w:lang w:val="en-US" w:eastAsia="zh-CN"/>
        </w:rPr>
        <w:t>65.45</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减少6.85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下降9.48</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超额绩效未列支完，调剂用于保障基本工资</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减少27.61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下降29.66</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超额绩效未列支完，调剂用于保障基本工资</w:t>
      </w:r>
      <w:r>
        <w:rPr>
          <w:rFonts w:hint="default" w:ascii="Times New Roman" w:hAnsi="Times New Roman" w:eastAsia="方正仿宋_GBK" w:cs="Times New Roman"/>
          <w:sz w:val="32"/>
          <w:szCs w:val="32"/>
        </w:rPr>
        <w:t>。此外，年初财政拨款结转和结余0万元。</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  2.支出情况。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年度一般公共预算财政拨款支出</w:t>
      </w:r>
      <w:r>
        <w:rPr>
          <w:rFonts w:hint="eastAsia" w:ascii="Times New Roman" w:hAnsi="Times New Roman" w:eastAsia="方正仿宋_GBK" w:cs="Times New Roman"/>
          <w:sz w:val="32"/>
          <w:szCs w:val="32"/>
          <w:lang w:val="en-US" w:eastAsia="zh-CN"/>
        </w:rPr>
        <w:t>65.45</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减少6.85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下降9.48</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超额绩效未列支完，调剂用于保障基本工资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  3.结转结余情况。</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年度年末一般公共预算财政拨款结转和结余0万元，较上年决算数增加0万元，增长100.0%，主要原因是本单位无结转结余。</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  4.比较情况。</w:t>
      </w: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（1）文化旅游体育</w:t>
      </w:r>
      <w:r>
        <w:rPr>
          <w:rFonts w:hint="default" w:ascii="Times New Roman" w:hAnsi="Times New Roman" w:eastAsia="方正仿宋_GBK" w:cs="Times New Roman"/>
          <w:color w:val="auto"/>
          <w:sz w:val="32"/>
          <w:szCs w:val="32"/>
        </w:rPr>
        <w:t>与传媒支</w:t>
      </w:r>
      <w:r>
        <w:rPr>
          <w:rFonts w:hint="default" w:ascii="Times New Roman" w:hAnsi="Times New Roman" w:eastAsia="方正仿宋_GBK" w:cs="Times New Roman"/>
          <w:sz w:val="32"/>
          <w:szCs w:val="32"/>
        </w:rPr>
        <w:t>出</w:t>
      </w: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62.64</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减少27.61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下降40.24%，</w:t>
      </w:r>
      <w:r>
        <w:rPr>
          <w:rFonts w:hint="default" w:ascii="Times New Roman" w:hAnsi="Times New Roman" w:eastAsia="方正仿宋_GBK" w:cs="Times New Roman"/>
          <w:sz w:val="32"/>
          <w:szCs w:val="32"/>
        </w:rPr>
        <w:t>主要原因是本单位</w:t>
      </w:r>
      <w:r>
        <w:rPr>
          <w:rFonts w:hint="eastAsia" w:ascii="Times New Roman" w:hAnsi="Times New Roman" w:eastAsia="方正仿宋_GBK" w:cs="Times New Roman"/>
          <w:sz w:val="32"/>
          <w:szCs w:val="32"/>
          <w:lang w:val="en-US" w:eastAsia="zh-CN"/>
        </w:rPr>
        <w:t>超额绩效调剂于保工资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（2）社会保障与就业支出</w:t>
      </w:r>
      <w:r>
        <w:rPr>
          <w:rFonts w:hint="eastAsia" w:ascii="Times New Roman" w:hAnsi="Times New Roman" w:eastAsia="方正仿宋_GBK" w:cs="Times New Roman"/>
          <w:sz w:val="32"/>
          <w:szCs w:val="32"/>
          <w:lang w:val="en-US" w:eastAsia="zh-CN"/>
        </w:rPr>
        <w:t>12.73</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19.44</w:t>
      </w:r>
      <w:r>
        <w:rPr>
          <w:rFonts w:hint="default" w:ascii="Times New Roman" w:hAnsi="Times New Roman" w:eastAsia="方正仿宋_GBK" w:cs="Times New Roman"/>
          <w:sz w:val="32"/>
          <w:szCs w:val="32"/>
        </w:rPr>
        <w:t>%，较年初预算数</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rPr>
        <w:t>，主要原因是年初预算已于本年度全部支出。</w:t>
      </w:r>
    </w:p>
    <w:p>
      <w:pPr>
        <w:keepNext w:val="0"/>
        <w:keepLines w:val="0"/>
        <w:pageBreakBefore w:val="0"/>
        <w:widowControl w:val="0"/>
        <w:kinsoku/>
        <w:wordWrap/>
        <w:overflowPunct/>
        <w:topLinePunct w:val="0"/>
        <w:autoSpaceDE/>
        <w:autoSpaceDN/>
        <w:bidi w:val="0"/>
        <w:adjustRightInd/>
        <w:snapToGrid/>
        <w:spacing w:line="588" w:lineRule="exact"/>
        <w:ind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（3）卫生健康支出</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7.64</w:t>
      </w:r>
      <w:r>
        <w:rPr>
          <w:rFonts w:hint="default" w:ascii="Times New Roman" w:hAnsi="Times New Roman" w:eastAsia="方正仿宋_GBK" w:cs="Times New Roman"/>
          <w:sz w:val="32"/>
          <w:szCs w:val="32"/>
        </w:rPr>
        <w:t>%，较年初预算数</w:t>
      </w:r>
      <w:r>
        <w:rPr>
          <w:rFonts w:hint="default" w:ascii="Times New Roman" w:hAnsi="Times New Roman" w:eastAsia="方正仿宋_GBK" w:cs="Times New Roman"/>
          <w:sz w:val="32"/>
          <w:szCs w:val="32"/>
          <w:lang w:eastAsia="zh-CN"/>
        </w:rPr>
        <w:t>增长</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rPr>
        <w:t>，主要原因是年初预算已于本年度全部支出。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   （4）住房保障支出</w:t>
      </w:r>
      <w:r>
        <w:rPr>
          <w:rFonts w:hint="default" w:ascii="Times New Roman" w:hAnsi="Times New Roman" w:eastAsia="方正仿宋_GBK" w:cs="Times New Roman"/>
          <w:sz w:val="32"/>
          <w:szCs w:val="32"/>
          <w:lang w:val="en-US" w:eastAsia="zh-CN"/>
        </w:rPr>
        <w:t>6.72</w:t>
      </w:r>
      <w:r>
        <w:rPr>
          <w:rFonts w:hint="default" w:ascii="Times New Roman" w:hAnsi="Times New Roman" w:eastAsia="方正仿宋_GBK" w:cs="Times New Roman"/>
          <w:sz w:val="32"/>
          <w:szCs w:val="32"/>
        </w:rPr>
        <w:t>万元，占</w:t>
      </w:r>
      <w:r>
        <w:rPr>
          <w:rFonts w:hint="eastAsia" w:ascii="Times New Roman" w:hAnsi="Times New Roman" w:eastAsia="方正仿宋_GBK" w:cs="Times New Roman"/>
          <w:sz w:val="32"/>
          <w:szCs w:val="32"/>
          <w:lang w:val="en-US" w:eastAsia="zh-CN"/>
        </w:rPr>
        <w:t>10.27</w:t>
      </w:r>
      <w:r>
        <w:rPr>
          <w:rFonts w:hint="default" w:ascii="Times New Roman" w:hAnsi="Times New Roman" w:eastAsia="方正仿宋_GBK" w:cs="Times New Roman"/>
          <w:sz w:val="32"/>
          <w:szCs w:val="32"/>
        </w:rPr>
        <w:t>%，较年初预算数增加</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rPr>
        <w:t>，主要原因是年初预算已于本年度全部支出。 </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年度一般公共预算财政拨款基本支出</w:t>
      </w:r>
      <w:r>
        <w:rPr>
          <w:rFonts w:hint="eastAsia" w:ascii="Times New Roman" w:hAnsi="Times New Roman" w:eastAsia="方正仿宋_GBK" w:cs="Times New Roman"/>
          <w:sz w:val="32"/>
          <w:szCs w:val="32"/>
          <w:lang w:val="en-US" w:eastAsia="zh-CN"/>
        </w:rPr>
        <w:t>65.45</w:t>
      </w:r>
      <w:r>
        <w:rPr>
          <w:rFonts w:hint="default" w:ascii="Times New Roman" w:hAnsi="Times New Roman" w:eastAsia="方正仿宋_GBK" w:cs="Times New Roman"/>
          <w:sz w:val="32"/>
          <w:szCs w:val="32"/>
        </w:rPr>
        <w:t>万元。其中：人员经费</w:t>
      </w:r>
      <w:r>
        <w:rPr>
          <w:rFonts w:hint="eastAsia" w:ascii="Times New Roman" w:hAnsi="Times New Roman" w:eastAsia="方正仿宋_GBK" w:cs="Times New Roman"/>
          <w:sz w:val="32"/>
          <w:szCs w:val="32"/>
          <w:lang w:val="en-US" w:eastAsia="zh-CN"/>
        </w:rPr>
        <w:t>53.04</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减少9.91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下降15.74</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正常增人增资。</w:t>
      </w:r>
      <w:r>
        <w:rPr>
          <w:rFonts w:hint="default" w:ascii="Times New Roman" w:hAnsi="Times New Roman" w:eastAsia="方正仿宋_GBK" w:cs="Times New Roman"/>
          <w:sz w:val="32"/>
          <w:szCs w:val="32"/>
        </w:rPr>
        <w:t>人员经费用途主要包括基本工资、津贴补贴、奖金、社会保障缴费等。公用经费</w:t>
      </w:r>
      <w:r>
        <w:rPr>
          <w:rFonts w:hint="eastAsia" w:ascii="Times New Roman" w:hAnsi="Times New Roman" w:eastAsia="方正仿宋_GBK" w:cs="Times New Roman"/>
          <w:sz w:val="32"/>
          <w:szCs w:val="32"/>
          <w:lang w:val="en-US" w:eastAsia="zh-CN"/>
        </w:rPr>
        <w:t>12.40</w:t>
      </w:r>
      <w:r>
        <w:rPr>
          <w:rFonts w:hint="default"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lang w:val="en-US" w:eastAsia="zh-CN"/>
        </w:rPr>
        <w:t>增加3.05</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增长32.65</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支付了2023年工会活动经费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公用经费用途主要包括办公费、印刷费、咨询费、手续费等。</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年度无政府性基金预算财政拨款收支。</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年度无国有资本经营预算财政拨款支出。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三公</w:t>
      </w:r>
      <w:r>
        <w:rPr>
          <w:rFonts w:hint="eastAsia"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经费情况说明 </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 （一）</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三公</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经费支出总体情况说明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 xml:space="preserve"> 年度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经费支出共计</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万元，较年初预算数减少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万元，下降</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%，主要原因是认真贯彻落实中央八项规定精神，按照只减不增的要求从严控制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经费。较上年支出数</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降低</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厉行节约，减少三公经费开支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（二）</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三公</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经费分项支出情况</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因公出国（境）费用0万元，主要是用于因公出国、出境支出。费用支出较年初预算数增加0万元，增长0.0%，主要原因是本单位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年度未发生因公出国（境）费支出。较上年支出数增加0万元，增长0.0%，主要原因是本单位未发生因公出国（境）费支出。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  公务车购置费0万元，主要用于购买公务车。费用支出较年初预算数增加0万元，增长0.0%，主要原因是本单位无公务用车购置安排。较上年支出数增加0万元，增长0.0%，主要原因是本单位无公务用车购置安排。</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运行维护费0万元，主要用于机要文件交换、市内因公出行等工作所需车辆的燃料费、维修费、过桥过路费、保险费等。费用支出较年初预算数增加0万元，增长0.0%，主要原因是本单位无公务车。较上年支出数增加0万元，增长0.0%，主要原因是本单位无公务车。</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  公务接待费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万元，主要用于接待到我单位学习调研、接受相关部门检查指导工作发生的接待支出等。费用支出较年初预算数减少</w:t>
      </w:r>
      <w:r>
        <w:rPr>
          <w:rFonts w:hint="default" w:ascii="Times New Roman" w:hAnsi="Times New Roman" w:eastAsia="方正仿宋_GBK" w:cs="Times New Roman"/>
          <w:sz w:val="32"/>
          <w:szCs w:val="32"/>
          <w:lang w:val="en-US" w:eastAsia="zh-CN"/>
        </w:rPr>
        <w:t>0.01</w:t>
      </w:r>
      <w:r>
        <w:rPr>
          <w:rFonts w:hint="default" w:ascii="Times New Roman" w:hAnsi="Times New Roman" w:eastAsia="方正仿宋_GBK" w:cs="Times New Roman"/>
          <w:sz w:val="32"/>
          <w:szCs w:val="32"/>
        </w:rPr>
        <w:t>万元，下降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%，主要原因是认真贯彻落实中央八项规定精神，按照只减不增的要求从严控制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经费。较上年支出数</w:t>
      </w:r>
      <w:r>
        <w:rPr>
          <w:rFonts w:hint="default" w:ascii="Times New Roman" w:hAnsi="Times New Roman" w:eastAsia="方正仿宋_GBK" w:cs="Times New Roman"/>
          <w:sz w:val="32"/>
          <w:szCs w:val="32"/>
          <w:lang w:eastAsia="zh-CN"/>
        </w:rPr>
        <w:t>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降低</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%，主要原因是本单位</w:t>
      </w:r>
      <w:r>
        <w:rPr>
          <w:rFonts w:hint="default" w:ascii="Times New Roman" w:hAnsi="Times New Roman" w:eastAsia="方正仿宋_GBK" w:cs="Times New Roman"/>
          <w:sz w:val="32"/>
          <w:szCs w:val="32"/>
          <w:lang w:eastAsia="zh-CN"/>
        </w:rPr>
        <w:t>厉行节约，减少三公经费开支</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三公</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经费实物量情况</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因公出国（境）共计0个团组，0人；公务用车购置0 辆，公务车保有量为0辆；国内公务接待</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批次</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，其中：国内外事接待0批次，0人；国（境）外公务接待0批次，0人。</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人均接待费</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元，车均购置费0万元，车均维护费0万元。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  本年度会议费支出0万元，较上年决算数增加0万元，增长0%，主要原因是本单位为合署办公，会议费发生在本级。本年度培训费支出</w:t>
      </w:r>
      <w:r>
        <w:rPr>
          <w:rFonts w:hint="default" w:ascii="Times New Roman" w:hAnsi="Times New Roman" w:eastAsia="方正仿宋_GBK" w:cs="Times New Roman"/>
          <w:sz w:val="32"/>
          <w:szCs w:val="32"/>
          <w:lang w:val="en-US" w:eastAsia="zh-CN"/>
        </w:rPr>
        <w:t>0.2</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万元，较上年决算数增加</w:t>
      </w:r>
      <w:r>
        <w:rPr>
          <w:rFonts w:hint="eastAsia" w:ascii="Times New Roman" w:hAnsi="Times New Roman" w:eastAsia="方正仿宋_GBK" w:cs="Times New Roman"/>
          <w:sz w:val="32"/>
          <w:szCs w:val="32"/>
          <w:lang w:val="en-US" w:eastAsia="zh-CN"/>
        </w:rPr>
        <w:t>0.27</w:t>
      </w:r>
      <w:r>
        <w:rPr>
          <w:rFonts w:hint="default"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lang w:val="en-US" w:eastAsia="zh-CN"/>
        </w:rPr>
        <w:t>本年度预算了培训费，2022年未预算此支出。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（二）机关运行经费支出情况说明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  截至</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年12月31日，</w:t>
      </w:r>
      <w:r>
        <w:rPr>
          <w:rFonts w:hint="eastAsia"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共有车辆0辆，其中，副部（省）级及以上领导用车0辆、主要领导干部用车0辆、机要通信用车0辆、应急保障用车0辆、执法执 勤用车0辆，特种专业技术用车0辆，离退休干部用车0辆，其他用 车0辆。单价100万元（含）以上设备（不含车辆）0台（套）。</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（四）政府采购支出说明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 xml:space="preserve"> 五、预算绩效管理情况说明</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楷体_GBK" w:cs="Times New Roman"/>
          <w:sz w:val="32"/>
          <w:szCs w:val="32"/>
        </w:rPr>
        <w:t>（一）单位自评情况</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    根据预算绩效管理要求，我单位0个项目开展了绩效自评，涉及财政拨款项目支出0万元。</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（二）绩效自评结果</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 具体内容详见附件中《部门整体绩效自评表》、《项目支出预算绩效自评表1》、《项目支出预算绩效自评表2》、《项目支出预算绩效自评表3》。</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（三）重点绩效评价结果</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本单位</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年不涉及开展重点绩效评价的项目。</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黑体_GBK" w:cs="Times New Roman"/>
          <w:sz w:val="32"/>
          <w:szCs w:val="32"/>
        </w:rPr>
        <w:t xml:space="preserve"> 六、专业名词解释</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（四）其他收入：指单位取得的除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等以外的收入，包括未纳入财政预算或财政专户管理的投资收益、银行存款利息收入、租金收入、捐赠收入，现金盘盈收入、存货盘盈收入、收回已核销的应 收及预付款项、无法偿付的应付及预收款项等。各单位从本级财政部门以外的同级单位取得的经费、从非本级财政部门取得的经费，以及行政单位收到的财政专户管 理资金反映在本项内。</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（五）使用非财政拨款结余：指单位在当年的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（九）基本支出：指为保障机构正常运转、完成日常工作任务而发生的人员经费和公用经费。其中：人员经费指政府收支分类经济科目中的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；公用经费指政府收支分类经济科目中除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外的其他支出。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经费：指用财政拨款安排的因公出国（境）费、公务用车购置及运行维护费、公务接待费。其中， 因公出国（境）费反映单位公务出国（境）的国际旅费、国外城市间交通费、住宿费、伙食费、培训费、公杂费等支出；公务用车购置费反映单位公务用车购置支出 （含车辆购置税）；公务用车运行维护费反映单位按规定保留的公务用车燃料费、维修费、过路过桥费、保险费、安全奖励费用等支出；公务接待费反映单位按规定 开支的各类公务接待（含外宾接待）支出。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（十三）机关运行经费：为保障行政单位（含参照公务员法管理的事业单位）运行用于购买货物和服务等的各项公用 经费，包括办公及印刷费、邮电费、差旅费、会议费、福利费、日常维护费、专用材料及一般设备购置费、办公用房水电费、办公用房取暖费、办公用房物业管理 费、公务用车运行维护费以及其他费用。</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本单位决算公开信息反馈和联系方式：</w:t>
      </w:r>
    </w:p>
    <w:p>
      <w:pPr>
        <w:keepNext w:val="0"/>
        <w:keepLines w:val="0"/>
        <w:pageBreakBefore w:val="0"/>
        <w:widowControl w:val="0"/>
        <w:kinsoku/>
        <w:wordWrap/>
        <w:overflowPunct/>
        <w:topLinePunct w:val="0"/>
        <w:autoSpaceDE/>
        <w:autoSpaceDN/>
        <w:bidi w:val="0"/>
        <w:adjustRightInd/>
        <w:snapToGrid/>
        <w:spacing w:line="588" w:lineRule="exac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陈</w:t>
      </w:r>
      <w:r>
        <w:rPr>
          <w:rFonts w:hint="eastAsia" w:ascii="Times New Roman" w:hAnsi="Times New Roman" w:eastAsia="方正仿宋_GBK" w:cs="Times New Roman"/>
          <w:sz w:val="32"/>
          <w:szCs w:val="32"/>
          <w:lang w:val="en-US" w:eastAsia="zh-CN"/>
        </w:rPr>
        <w:t>万鑫</w:t>
      </w:r>
      <w:r>
        <w:rPr>
          <w:rFonts w:hint="default" w:ascii="Times New Roman" w:hAnsi="Times New Roman" w:eastAsia="方正仿宋_GBK" w:cs="Times New Roman"/>
          <w:sz w:val="32"/>
          <w:szCs w:val="32"/>
        </w:rPr>
        <w:t xml:space="preserve"> 023-49</w:t>
      </w:r>
      <w:r>
        <w:rPr>
          <w:rFonts w:hint="eastAsia" w:ascii="Times New Roman" w:hAnsi="Times New Roman" w:eastAsia="方正仿宋_GBK" w:cs="Times New Roman"/>
          <w:sz w:val="32"/>
          <w:szCs w:val="32"/>
          <w:lang w:val="en-US" w:eastAsia="zh-CN"/>
        </w:rPr>
        <w:t>330252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NDRmZDk3NjBhMWIxYTRkYzFmZTBmODIyNDEyMGEifQ=="/>
  </w:docVars>
  <w:rsids>
    <w:rsidRoot w:val="26973C23"/>
    <w:rsid w:val="05582A2F"/>
    <w:rsid w:val="07746C0F"/>
    <w:rsid w:val="157C1CB1"/>
    <w:rsid w:val="16C800F3"/>
    <w:rsid w:val="1785480E"/>
    <w:rsid w:val="26973C23"/>
    <w:rsid w:val="2D030894"/>
    <w:rsid w:val="44885538"/>
    <w:rsid w:val="66B879A2"/>
    <w:rsid w:val="6EAB4447"/>
    <w:rsid w:val="73DC7600"/>
    <w:rsid w:val="7C494933"/>
    <w:rsid w:val="7CC1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4163</Words>
  <Characters>4561</Characters>
  <Lines>0</Lines>
  <Paragraphs>0</Paragraphs>
  <TotalTime>4</TotalTime>
  <ScaleCrop>false</ScaleCrop>
  <LinksUpToDate>false</LinksUpToDate>
  <CharactersWithSpaces>4633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2024-06-17T07:44:00Z</dcterms:created>
  <dc:creator>Administrator</dc:creator>
  <cp:lastModifiedBy>啦啦啦</cp:lastModifiedBy>
  <dcterms:modified xsi:type="dcterms:W3CDTF">2024-08-07T07:29:59Z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D6257B926B2541D294594AB83CE010C5_11</vt:lpwstr>
  </property>
</Properties>
</file>