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关于朱沱镇大河村等13个村庄规划的批复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〔2024〕1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重庆市永川区朱沱镇人民政府：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你镇《关于审批朱沱镇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大河村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个村庄规划成果的请示》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朱沱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府文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收悉。经区政府研究，现批复如下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原则同意朱沱镇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大河村、江永村、九层岩村、龙宝山村、龙汇垭村、马道子村、石碓窝村、水渡滩村、四明村、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滩子口村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、涨谷村、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福良村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、新岸山村等13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个村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规划方案。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大河村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419.42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436.84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107.87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江永村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353.21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353.99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公顷，村庄用地规模不突破116.3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九层岩村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227.96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公顷，生态保护红线5.5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6公顷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247.43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60.93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龙宝山村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140.56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200.99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公顷，村庄用地规模不突破55.54公顷。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龙汇垭村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245.94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248.48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71.34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马道子村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291.73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293.40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81.83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石碓窝村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214.00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224.14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79.32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水渡滩村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292.13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293.02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86.85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四明村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375.85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394.94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110.15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、《滩子口村村庄规划》严格落实了永久基本农田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439.10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445.31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139.63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涨谷村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343.88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38.25公顷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380.53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107.16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、《福良村村庄规划》严格落实了永久基本农田260.58公顷，该村不涉及生态保护红线；按照规划安排，耕地保有量原则上不低于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261.96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81.99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新岸山村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208.72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1.76公顷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；按照规划安排，耕地保有量原则上不低于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213.40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70.62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十五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3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3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3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33C5B2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/>
      <w:spacing w:line="360" w:lineRule="auto"/>
      <w:jc w:val="left"/>
      <w:textAlignment w:val="auto"/>
      <w:outlineLvl w:val="1"/>
    </w:pPr>
    <w:rPr>
      <w:rFonts w:ascii="黑体" w:hAnsi="黑体" w:eastAsia="黑体"/>
      <w:kern w:val="0"/>
      <w:sz w:val="30"/>
      <w:szCs w:val="20"/>
      <w:lang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2"/>
    </w:pPr>
    <w:rPr>
      <w:rFonts w:eastAsia="宋体"/>
      <w:b/>
      <w:bCs/>
      <w:kern w:val="2"/>
      <w:sz w:val="32"/>
      <w:szCs w:val="32"/>
      <w:lang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link w:val="20"/>
    <w:semiHidden/>
    <w:qFormat/>
    <w:uiPriority w:val="0"/>
    <w:rPr>
      <w:rFonts w:ascii="Calibri" w:hAnsi="Calibri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macro"/>
    <w:qFormat/>
    <w:uiPriority w:val="0"/>
    <w:pPr>
      <w:snapToGrid w:val="0"/>
      <w:jc w:val="center"/>
    </w:pPr>
    <w:rPr>
      <w:rFonts w:ascii="Times New Roman" w:hAnsi="Times New Roman" w:eastAsia="仿宋" w:cs="Tahoma"/>
      <w:color w:val="000000"/>
      <w:sz w:val="18"/>
      <w:szCs w:val="18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  <w:lang/>
    </w:r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Body Text Indent"/>
    <w:basedOn w:val="1"/>
    <w:qFormat/>
    <w:uiPriority w:val="0"/>
    <w:pPr>
      <w:adjustRightInd/>
      <w:spacing w:line="520" w:lineRule="exact"/>
      <w:ind w:firstLine="630"/>
      <w:textAlignment w:val="auto"/>
    </w:pPr>
    <w:rPr>
      <w:rFonts w:eastAsia="仿宋_GB2312"/>
      <w:kern w:val="2"/>
      <w:sz w:val="32"/>
      <w:szCs w:val="20"/>
      <w:lang/>
    </w:rPr>
  </w:style>
  <w:style w:type="paragraph" w:styleId="10">
    <w:name w:val="Date"/>
    <w:basedOn w:val="1"/>
    <w:next w:val="1"/>
    <w:qFormat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0"/>
      <w:lang/>
    </w:rPr>
  </w:style>
  <w:style w:type="paragraph" w:styleId="11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adjustRightInd/>
      <w:spacing w:before="240" w:after="60" w:line="240" w:lineRule="auto"/>
      <w:jc w:val="center"/>
      <w:textAlignment w:val="baseline"/>
      <w:outlineLvl w:val="0"/>
    </w:pPr>
    <w:rPr>
      <w:rFonts w:ascii="Arial" w:hAnsi="Arial" w:eastAsia="宋体"/>
      <w:b/>
      <w:kern w:val="2"/>
      <w:sz w:val="32"/>
      <w:szCs w:val="20"/>
      <w:lang/>
    </w:rPr>
  </w:style>
  <w:style w:type="paragraph" w:styleId="16">
    <w:name w:val="Body Text First Indent"/>
    <w:basedOn w:val="2"/>
    <w:qFormat/>
    <w:uiPriority w:val="0"/>
    <w:pPr>
      <w:spacing w:after="160"/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默认段落字体 Para Char Char Char Char Char Char Char Char Char Char Char Char"/>
    <w:basedOn w:val="1"/>
    <w:link w:val="19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21">
    <w:name w:val="Strong"/>
    <w:basedOn w:val="19"/>
    <w:uiPriority w:val="0"/>
    <w:rPr>
      <w:b/>
      <w:bCs/>
    </w:rPr>
  </w:style>
  <w:style w:type="character" w:styleId="22">
    <w:name w:val="page number"/>
    <w:basedOn w:val="19"/>
    <w:qFormat/>
    <w:uiPriority w:val="0"/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6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customStyle="1" w:styleId="27">
    <w:name w:val="005段落"/>
    <w:basedOn w:val="1"/>
    <w:qFormat/>
    <w:uiPriority w:val="0"/>
    <w:pPr>
      <w:adjustRightInd/>
      <w:spacing w:line="360" w:lineRule="auto"/>
      <w:ind w:firstLine="480" w:firstLineChars="200"/>
      <w:textAlignment w:val="auto"/>
    </w:pPr>
    <w:rPr>
      <w:rFonts w:eastAsia="仿宋_GB2312"/>
      <w:kern w:val="2"/>
      <w:sz w:val="24"/>
      <w:szCs w:val="20"/>
      <w:lang/>
    </w:rPr>
  </w:style>
  <w:style w:type="paragraph" w:styleId="28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  <w:lang/>
    </w:rPr>
  </w:style>
  <w:style w:type="paragraph" w:customStyle="1" w:styleId="29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Body text|1"/>
    <w:basedOn w:val="1"/>
    <w:qFormat/>
    <w:uiPriority w:val="0"/>
    <w:pPr>
      <w:widowControl w:val="0"/>
      <w:shd w:val="clear" w:color="auto" w:fill="auto"/>
      <w:adjustRightInd/>
      <w:spacing w:after="400" w:line="389" w:lineRule="auto"/>
      <w:ind w:firstLine="400"/>
      <w:textAlignment w:val="auto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31">
    <w:name w:val="font71"/>
    <w:basedOn w:val="19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32">
    <w:name w:val="font11"/>
    <w:basedOn w:val="19"/>
    <w:qFormat/>
    <w:uiPriority w:val="0"/>
    <w:rPr>
      <w:rFonts w:hint="default"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33">
    <w:name w:val="font51"/>
    <w:basedOn w:val="19"/>
    <w:qFormat/>
    <w:uiPriority w:val="0"/>
    <w:rPr>
      <w:rFonts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34">
    <w:name w:val="font81"/>
    <w:basedOn w:val="19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35">
    <w:name w:val="font01"/>
    <w:basedOn w:val="19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  <w:vertAlign w:val="superscript"/>
    </w:rPr>
  </w:style>
  <w:style w:type="character" w:customStyle="1" w:styleId="36">
    <w:name w:val="font101"/>
    <w:basedOn w:val="19"/>
    <w:qFormat/>
    <w:uiPriority w:val="0"/>
    <w:rPr>
      <w:rFonts w:hint="default" w:ascii="仿宋_GB2312" w:hAnsi="Times New Roman" w:eastAsia="仿宋_GB2312" w:cs="仿宋_GB2312"/>
      <w:b/>
      <w:color w:val="000000"/>
      <w:sz w:val="20"/>
      <w:szCs w:val="20"/>
      <w:u w:val="none"/>
    </w:rPr>
  </w:style>
  <w:style w:type="character" w:customStyle="1" w:styleId="37">
    <w:name w:val="font61"/>
    <w:basedOn w:val="19"/>
    <w:qFormat/>
    <w:uiPriority w:val="0"/>
    <w:rPr>
      <w:rFonts w:hint="default" w:ascii="仿宋_GB2312" w:hAnsi="Times New Roman" w:eastAsia="仿宋_GB2312" w:cs="仿宋_GB2312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2012-11-05T07:58:00Z</dcterms:created>
  <dc:creator>Lenovo User</dc:creator>
  <cp:lastModifiedBy> </cp:lastModifiedBy>
  <cp:lastPrinted>2024-12-19T06:26:00Z</cp:lastPrinted>
  <dcterms:modified xsi:type="dcterms:W3CDTF">2024-12-31T16:29:45Z</dcterms:modified>
  <dc:title>关于杨炼兵用地的规划公示条件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