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t>重庆市永川区人民政府</w:t>
      </w:r>
      <w:r>
        <w:rPr>
          <w:rFonts w:hint="eastAsia" w:ascii="Times New Roman" w:hAnsi="Times New Roman" w:eastAsia="方正小标宋_GBK" w:cs="Times New Roman"/>
          <w:color w:val="000000" w:themeColor="text1"/>
          <w:sz w:val="44"/>
          <w:szCs w:val="44"/>
          <w:u w:val="none"/>
          <w:lang w:val="en-US" w:eastAsia="zh-CN"/>
          <w14:textFill>
            <w14:solidFill>
              <w14:schemeClr w14:val="tx1"/>
            </w14:solidFill>
          </w14:textFill>
        </w:rPr>
        <w:t>办公室</w:t>
      </w:r>
    </w:p>
    <w:p>
      <w:pPr>
        <w:snapToGrid w:val="0"/>
        <w:spacing w:line="240" w:lineRule="auto"/>
        <w:jc w:val="center"/>
        <w:rPr>
          <w:rFonts w:hint="eastAsia" w:ascii="方正小标宋_GBK" w:hAnsi="方正小标宋_GBK" w:eastAsia="方正小标宋_GBK" w:cs="方正小标宋_GBK"/>
          <w:kern w:val="33"/>
          <w:sz w:val="44"/>
          <w:szCs w:val="44"/>
        </w:rPr>
      </w:pPr>
      <w:r>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t>关于</w:t>
      </w:r>
      <w: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t>印发</w:t>
      </w:r>
      <w:r>
        <w:rPr>
          <w:rFonts w:hint="eastAsia" w:ascii="方正小标宋_GBK" w:hAnsi="方正小标宋_GBK" w:eastAsia="方正小标宋_GBK" w:cs="方正小标宋_GBK"/>
          <w:kern w:val="33"/>
          <w:sz w:val="44"/>
          <w:szCs w:val="44"/>
        </w:rPr>
        <w:t>永川区企业创新主体培育提升</w:t>
      </w:r>
    </w:p>
    <w:p>
      <w:pPr>
        <w:snapToGrid w:val="0"/>
        <w:spacing w:line="240" w:lineRule="auto"/>
        <w:jc w:val="cente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kern w:val="33"/>
          <w:sz w:val="44"/>
          <w:szCs w:val="44"/>
        </w:rPr>
        <w:t>“6</w:t>
      </w:r>
      <w:r>
        <w:rPr>
          <w:rFonts w:ascii="方正小标宋_GBK" w:hAnsi="方正小标宋_GBK" w:eastAsia="方正小标宋_GBK" w:cs="方正小标宋_GBK"/>
          <w:kern w:val="33"/>
          <w:sz w:val="44"/>
          <w:szCs w:val="44"/>
        </w:rPr>
        <w:t>63</w:t>
      </w:r>
      <w:r>
        <w:rPr>
          <w:rFonts w:hint="eastAsia" w:ascii="方正小标宋_GBK" w:hAnsi="方正小标宋_GBK" w:eastAsia="方正小标宋_GBK" w:cs="方正小标宋_GBK"/>
          <w:kern w:val="33"/>
          <w:sz w:val="44"/>
          <w:szCs w:val="44"/>
        </w:rPr>
        <w:t>”行动计划</w:t>
      </w:r>
      <w: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永川府办发〔2023〕26号</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rPr>
        <w:t>各镇人民政府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街道办事处，</w:t>
      </w:r>
      <w:r>
        <w:rPr>
          <w:rFonts w:hint="eastAsia" w:ascii="Times New Roman" w:hAnsi="Times New Roman" w:eastAsia="方正仿宋_GBK" w:cs="方正仿宋_GBK"/>
          <w:sz w:val="32"/>
          <w:szCs w:val="32"/>
          <w:lang w:eastAsia="zh-CN"/>
        </w:rPr>
        <w:t>区政府各部门，有关单位</w:t>
      </w:r>
      <w:r>
        <w:rPr>
          <w:rFonts w:hint="default"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eastAsia="zh-CN"/>
        </w:rPr>
        <w:t>永川区企业创新主体培育提升“663”行动计划</w:t>
      </w:r>
      <w:r>
        <w:rPr>
          <w:rFonts w:hint="eastAsia" w:ascii="Times New Roman" w:hAnsi="Times New Roman"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已经区政府同意，现印发给你们，请认真贯彻执行。</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 xml:space="preserve">                        重庆市永川区人民政府</w:t>
      </w:r>
      <w: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办公室</w:t>
      </w:r>
    </w:p>
    <w:p>
      <w:pPr>
        <w:pStyle w:val="5"/>
        <w:keepNext w:val="0"/>
        <w:keepLines w:val="0"/>
        <w:pageBreakBefore w:val="0"/>
        <w:widowControl w:val="0"/>
        <w:kinsoku/>
        <w:wordWrap/>
        <w:overflowPunct/>
        <w:topLinePunct w:val="0"/>
        <w:autoSpaceDE/>
        <w:autoSpaceDN/>
        <w:bidi w:val="0"/>
        <w:adjustRightInd w:val="0"/>
        <w:snapToGrid w:val="0"/>
        <w:spacing w:line="300" w:lineRule="auto"/>
        <w:ind w:left="0" w:leftChars="0" w:firstLine="0" w:firstLineChars="0"/>
        <w:jc w:val="center"/>
        <w:textAlignment w:val="auto"/>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 xml:space="preserve">                       202</w:t>
      </w:r>
      <w: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4</w:t>
      </w:r>
      <w:r>
        <w:rPr>
          <w:rFonts w:hint="default" w:ascii="Times New Roman" w:hAnsi="Times New Roman" w:eastAsia="方正仿宋_GBK" w:cs="Times New Roman"/>
          <w:color w:val="000000" w:themeColor="text1"/>
          <w:kern w:val="2"/>
          <w:sz w:val="32"/>
          <w:szCs w:val="32"/>
          <w:u w:val="none"/>
          <w:lang w:val="en-US" w:eastAsia="zh-CN" w:bidi="ar-SA"/>
          <w14:textFill>
            <w14:solidFill>
              <w14:schemeClr w14:val="tx1"/>
            </w14:solidFill>
          </w14:textFill>
        </w:rPr>
        <w:t>月12日</w:t>
      </w:r>
    </w:p>
    <w:p>
      <w:pPr>
        <w:adjustRightInd w:val="0"/>
        <w:snapToGrid w:val="0"/>
        <w:spacing w:line="300" w:lineRule="auto"/>
        <w:ind w:firstLine="640" w:firstLineChars="200"/>
        <w:rPr>
          <w:rFonts w:hint="default" w:ascii="Times New Roman" w:hAnsi="Times New Roman" w:eastAsia="方正仿宋_GBK" w:cs="方正仿宋_GBK"/>
          <w:color w:val="000000" w:themeColor="text1"/>
          <w:kern w:val="2"/>
          <w:sz w:val="32"/>
          <w:szCs w:val="32"/>
          <w:u w:val="none"/>
          <w:lang w:val="en-US" w:eastAsia="zh-CN" w:bidi="ar-SA"/>
          <w14:textFill>
            <w14:solidFill>
              <w14:schemeClr w14:val="tx1"/>
            </w14:solidFill>
          </w14:textFill>
        </w:rPr>
      </w:pPr>
      <w:r>
        <w:rPr>
          <w:rFonts w:hint="default" w:ascii="Times New Roman" w:hAnsi="Times New Roman" w:eastAsia="方正仿宋_GBK" w:cs="方正仿宋_GBK"/>
          <w:color w:val="000000" w:themeColor="text1"/>
          <w:kern w:val="2"/>
          <w:sz w:val="32"/>
          <w:szCs w:val="32"/>
          <w:u w:val="none"/>
          <w:lang w:val="en-US" w:eastAsia="zh-CN" w:bidi="ar-SA"/>
          <w14:textFill>
            <w14:solidFill>
              <w14:schemeClr w14:val="tx1"/>
            </w14:solidFill>
          </w14:textFill>
        </w:rPr>
        <w:t>（此件公开发布）</w:t>
      </w:r>
    </w:p>
    <w:p>
      <w:pPr>
        <w:adjustRightInd w:val="0"/>
        <w:snapToGrid w:val="0"/>
        <w:spacing w:line="300" w:lineRule="auto"/>
        <w:ind w:firstLine="640" w:firstLineChars="200"/>
        <w:rPr>
          <w:rFonts w:ascii="Times New Roman" w:hAnsi="Times New Roman" w:eastAsia="方正仿宋_GBK" w:cs="方正仿宋_GBK"/>
          <w:sz w:val="32"/>
          <w:szCs w:val="32"/>
        </w:rPr>
      </w:pPr>
      <w:r>
        <w:rPr>
          <w:rFonts w:hint="default" w:ascii="Times New Roman" w:hAnsi="Times New Roman" w:eastAsia="方正仿宋_GBK" w:cs="方正仿宋_GBK"/>
          <w:color w:val="000000"/>
          <w:sz w:val="32"/>
          <w:szCs w:val="32"/>
          <w:highlight w:val="none"/>
        </w:rPr>
        <w:br w:type="page"/>
      </w:r>
    </w:p>
    <w:p>
      <w:pPr>
        <w:pStyle w:val="32"/>
      </w:pPr>
      <w:r>
        <w:rPr>
          <w:rFonts w:hint="eastAsia"/>
        </w:rPr>
        <w:t>永川区企业创新主体培育提升“663”行动计划</w:t>
      </w:r>
    </w:p>
    <w:p>
      <w:pPr>
        <w:pStyle w:val="33"/>
        <w:widowControl w:val="0"/>
        <w:snapToGrid w:val="0"/>
        <w:spacing w:line="300" w:lineRule="auto"/>
        <w:ind w:firstLine="640"/>
      </w:pPr>
    </w:p>
    <w:p>
      <w:pPr>
        <w:pStyle w:val="33"/>
        <w:widowControl w:val="0"/>
        <w:snapToGrid w:val="0"/>
        <w:spacing w:line="300" w:lineRule="auto"/>
        <w:ind w:firstLine="640"/>
      </w:pPr>
      <w:r>
        <w:rPr>
          <w:rFonts w:hint="eastAsia"/>
        </w:rPr>
        <w:t>为全面贯彻党的二十大精神，认真落实市第六次党代会和市委六届二次全会部署要求，以科技创新赋能产业发展，加速各类创新要素向企业集聚，加快培育高新技术企业和科技型企业，着力发展壮大高质量市场主体，服务构建现代化产业体系，奋力书写新时代新征程新重庆永川篇章，特制定本行动计划。</w:t>
      </w:r>
    </w:p>
    <w:p>
      <w:pPr>
        <w:pStyle w:val="34"/>
        <w:widowControl w:val="0"/>
        <w:snapToGrid w:val="0"/>
        <w:spacing w:line="300" w:lineRule="auto"/>
        <w:ind w:firstLine="640"/>
      </w:pPr>
      <w:r>
        <w:rPr>
          <w:rFonts w:hint="eastAsia"/>
        </w:rPr>
        <w:t>一、总体要求</w:t>
      </w:r>
    </w:p>
    <w:p>
      <w:pPr>
        <w:pStyle w:val="33"/>
        <w:widowControl w:val="0"/>
        <w:snapToGrid w:val="0"/>
        <w:spacing w:line="300" w:lineRule="auto"/>
        <w:ind w:firstLine="640"/>
      </w:pPr>
      <w:r>
        <w:rPr>
          <w:rStyle w:val="35"/>
          <w:rFonts w:hint="eastAsia"/>
        </w:rPr>
        <w:t>（一）指导思想。</w:t>
      </w:r>
      <w:r>
        <w:rPr>
          <w:rFonts w:hint="eastAsia"/>
        </w:rPr>
        <w:t>坚持以习近平新时代中国特色社会主义思想为指导，牢牢把握习近平总书记对重庆的重要指示批示精神，紧紧围绕永川区“2235”总体发展思路，以提升企业创新力和竞争力为根本，按照“培育一批、引进一批；提升一批、孵化一批”，打造“孵化创新创业企业、科技型企业、高新技术企业”的培育发展梯次和全流程服务，持续发力，精准服务，加快培育发展高新技术企业和科技型企业，加快建设“两双”大城、“两高”强区，努力在成渝地区双城经济圈建设和重庆主城都市区同城化发展中打头阵、挑重担、做示范。</w:t>
      </w:r>
    </w:p>
    <w:p>
      <w:pPr>
        <w:pStyle w:val="33"/>
        <w:widowControl w:val="0"/>
        <w:snapToGrid w:val="0"/>
        <w:spacing w:line="300" w:lineRule="auto"/>
        <w:ind w:firstLine="640"/>
      </w:pPr>
      <w:r>
        <w:rPr>
          <w:rStyle w:val="35"/>
          <w:rFonts w:hint="eastAsia"/>
        </w:rPr>
        <w:t>（二）主要目标。</w:t>
      </w:r>
      <w:r>
        <w:rPr>
          <w:rFonts w:hint="eastAsia"/>
        </w:rPr>
        <w:t>到</w:t>
      </w:r>
      <w:r>
        <w:t>2025</w:t>
      </w:r>
      <w:r>
        <w:rPr>
          <w:rFonts w:hint="eastAsia"/>
        </w:rPr>
        <w:t>年，全区全社会研发经费投入突破</w:t>
      </w:r>
      <w:r>
        <w:t>46</w:t>
      </w:r>
      <w:r>
        <w:rPr>
          <w:rFonts w:hint="eastAsia"/>
        </w:rPr>
        <w:t>亿元，高新技术企业总数超过</w:t>
      </w:r>
      <w:r>
        <w:t>420</w:t>
      </w:r>
      <w:r>
        <w:rPr>
          <w:rFonts w:hint="eastAsia"/>
        </w:rPr>
        <w:t>家，科技型企业总数超过</w:t>
      </w:r>
      <w:r>
        <w:t>2100</w:t>
      </w:r>
      <w:r>
        <w:rPr>
          <w:rFonts w:hint="eastAsia"/>
        </w:rPr>
        <w:t>家；到2027年，全区全社会研发经费投入突破60亿元，高新技术企业总数超过600家，科技型企业总数超过3000家，创新主体规模不断壮大，创新能力显著提升，高质量发展新动能更加强劲。</w:t>
      </w:r>
    </w:p>
    <w:p>
      <w:pPr>
        <w:pStyle w:val="34"/>
        <w:widowControl w:val="0"/>
        <w:snapToGrid w:val="0"/>
        <w:spacing w:line="300" w:lineRule="auto"/>
        <w:ind w:firstLine="640"/>
      </w:pPr>
      <w:r>
        <w:rPr>
          <w:rFonts w:hint="eastAsia"/>
        </w:rPr>
        <w:t>二、重点任务</w:t>
      </w:r>
    </w:p>
    <w:p>
      <w:pPr>
        <w:pStyle w:val="33"/>
        <w:widowControl w:val="0"/>
        <w:snapToGrid w:val="0"/>
        <w:spacing w:line="300" w:lineRule="auto"/>
        <w:ind w:firstLine="640"/>
        <w:rPr>
          <w:rStyle w:val="35"/>
        </w:rPr>
      </w:pPr>
      <w:r>
        <w:rPr>
          <w:rStyle w:val="35"/>
          <w:rFonts w:hint="eastAsia"/>
        </w:rPr>
        <w:t>（一）着力构建创新主体梯次引育体系</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1.建立高新技术企业培育后备库。全面排查摸清底数，定期动态跟踪新注册独立法人企业和拥有知识产权企业发展状况，推动符合条件的企业“应入尽入”，充实壮大科技型企业库。遴选一批自主创新能力强、市场前景好的科技型企业，及时纳入“高新技术企业培育库”，实行动态管理、跟踪服务。</w:t>
      </w:r>
      <w:r>
        <w:rPr>
          <w:rFonts w:hint="eastAsia" w:ascii="方正楷体_GBK" w:hAnsi="方正楷体_GBK" w:eastAsia="方正楷体_GBK" w:cs="方正楷体_GBK"/>
        </w:rPr>
        <w:t>（责任单位：区科技局、区市场监管局、</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高新区管委会、区新城建管委、各产业促进中心、各镇街）</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2.健全入库企业培育服务体系。设置入库企业培育发展台账，建立挂钩帮扶机制，对每家企业明确时间表和责任人，依托高新技术企业协会和专业化服务机构，针对知识产权挖掘与保护、研发费用归集及账目设置等薄弱环节，依据相关规定的政策文件进行帮扶指导。</w:t>
      </w:r>
      <w:r>
        <w:rPr>
          <w:rFonts w:hint="eastAsia" w:ascii="方正楷体_GBK" w:hAnsi="方正楷体_GBK" w:eastAsia="方正楷体_GBK" w:cs="方正楷体_GBK"/>
        </w:rPr>
        <w:t>（责任单位：区科技局、</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高新区管委会、区新城建管委、各产业促进中心、各镇街）</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3.积极引进高新技术企业和科技型企业。发挥成渝地区国家战略大后方和永川产业基础，聚焦补链延链强链，优化招商投资促进政策，优先引进高新技术企业和国家科技型中小企业，每年整体新引进高新技术企业不低于10家。全区招商引资中科技创新项目比例不低于30%，其研发投入强度不低于3%，在投资协议中引导科创项目3年内成长为高新技术企业。</w:t>
      </w:r>
      <w:r>
        <w:rPr>
          <w:rFonts w:hint="eastAsia" w:ascii="方正楷体_GBK" w:hAnsi="方正楷体_GBK" w:eastAsia="方正楷体_GBK" w:cs="方正楷体_GBK"/>
        </w:rPr>
        <w:t>（责任单位：区招商</w:t>
      </w:r>
      <w:r>
        <w:rPr>
          <w:rFonts w:hint="eastAsia" w:ascii="方正楷体_GBK" w:hAnsi="方正楷体_GBK" w:eastAsia="方正楷体_GBK" w:cs="方正楷体_GBK"/>
          <w:lang w:eastAsia="zh-CN"/>
        </w:rPr>
        <w:t>投资</w:t>
      </w:r>
      <w:r>
        <w:rPr>
          <w:rFonts w:hint="eastAsia" w:ascii="方正楷体_GBK" w:hAnsi="方正楷体_GBK" w:eastAsia="方正楷体_GBK" w:cs="方正楷体_GBK"/>
        </w:rPr>
        <w:t>局、区新城建管委、</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高新区管委会、各产业促进中心、各镇街）</w:t>
      </w:r>
    </w:p>
    <w:p>
      <w:pPr>
        <w:pStyle w:val="33"/>
        <w:widowControl w:val="0"/>
        <w:snapToGrid w:val="0"/>
        <w:spacing w:line="300" w:lineRule="auto"/>
        <w:ind w:firstLine="640"/>
        <w:rPr>
          <w:rStyle w:val="35"/>
        </w:rPr>
      </w:pPr>
      <w:r>
        <w:rPr>
          <w:rStyle w:val="35"/>
          <w:rFonts w:hint="eastAsia"/>
        </w:rPr>
        <w:t>（二）加快提升企业技术创新能力</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4.大力支持企业建设创新平台。深化产学研融合，鼓励引导高新技术企业、科技型企业和规上企业，加速组建研发中心、研究院等专门研究机构，推动企业研发机构提质扩面。支持有条件的企业建设重点实验室、技术创新中心、制造业创新中心等国家和市级创新平台。2027年，全区规上工业企业研发机构建有率突破60%。</w:t>
      </w:r>
      <w:r>
        <w:rPr>
          <w:rFonts w:hint="eastAsia" w:ascii="方正楷体_GBK" w:hAnsi="方正楷体_GBK" w:eastAsia="方正楷体_GBK" w:cs="方正楷体_GBK"/>
        </w:rPr>
        <w:t>（责任单位：区</w:t>
      </w:r>
      <w:r>
        <w:rPr>
          <w:rFonts w:hint="eastAsia" w:ascii="方正楷体_GBK" w:hAnsi="方正楷体_GBK" w:eastAsia="方正楷体_GBK" w:cs="方正楷体_GBK"/>
          <w:lang w:eastAsia="zh-CN"/>
        </w:rPr>
        <w:t>经济信息</w:t>
      </w:r>
      <w:r>
        <w:rPr>
          <w:rFonts w:hint="eastAsia" w:ascii="方正楷体_GBK" w:hAnsi="方正楷体_GBK" w:eastAsia="方正楷体_GBK" w:cs="方正楷体_GBK"/>
        </w:rPr>
        <w:t>委、区科技局、</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高新区管委会、区新城建管委、各产业促进中心）</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5.加快企业关键技术攻关。实施工业科技特派员制度，完善技术需求和成果对接渠道，系统梳理形成全区关键核心技术需求清单，鼓励企业加大研发经费投入，采取“揭榜挂帅”等项目组织方式，推进一批关键核心技术产学研协同攻关，加快实现重点领域技术突破。</w:t>
      </w:r>
      <w:r>
        <w:rPr>
          <w:rFonts w:hint="eastAsia" w:ascii="方正楷体_GBK" w:hAnsi="方正楷体_GBK" w:eastAsia="方正楷体_GBK" w:cs="方正楷体_GBK"/>
        </w:rPr>
        <w:t>（责任单位：区科技局、</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高新区管委会、区新城建管委、各产业促进中心）</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6.积极鼓励企业开展研发活动。激发企业内生创新动力，积极引导企业加大研发投入，做好研发投入加计扣除政策兑现落实，提高企业研发活动覆盖率。将支持企业的产业发展资金，年度300万元以下的、不低于总额的15%，300万元以上的、不低于总额5%的（且不低于50万元），调整为企业技术创新发展基金，用于支持企业开展研发活动。</w:t>
      </w:r>
      <w:r>
        <w:rPr>
          <w:rFonts w:hint="eastAsia" w:ascii="方正楷体_GBK" w:hAnsi="方正楷体_GBK" w:eastAsia="方正楷体_GBK" w:cs="方正楷体_GBK"/>
        </w:rPr>
        <w:t>（责任单位：区</w:t>
      </w:r>
      <w:r>
        <w:rPr>
          <w:rFonts w:hint="eastAsia" w:ascii="方正楷体_GBK" w:hAnsi="方正楷体_GBK" w:eastAsia="方正楷体_GBK" w:cs="方正楷体_GBK"/>
          <w:lang w:eastAsia="zh-CN"/>
        </w:rPr>
        <w:t>经济信息</w:t>
      </w:r>
      <w:r>
        <w:rPr>
          <w:rFonts w:hint="eastAsia" w:ascii="方正楷体_GBK" w:hAnsi="方正楷体_GBK" w:eastAsia="方正楷体_GBK" w:cs="方正楷体_GBK"/>
        </w:rPr>
        <w:t>委、区税务局、区科技局、</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高新区管委会、区新城建管委、各产业促进中心、各镇街）</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7.支持重点企业牵头组建创新联合体。引导重点企业联合行业上下游、产学研力量组建若干创新联合体，共享创新资源，建立关键技术联合互助攻关机制，破解中小企业创新能力薄弱难题。</w:t>
      </w:r>
      <w:r>
        <w:rPr>
          <w:rFonts w:hint="eastAsia" w:ascii="方正楷体_GBK" w:hAnsi="方正楷体_GBK" w:eastAsia="方正楷体_GBK" w:cs="方正楷体_GBK"/>
        </w:rPr>
        <w:t>（责任单位：区科技局、</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高新区管委会、区新城建管委、各产业促进中心）</w:t>
      </w:r>
    </w:p>
    <w:p>
      <w:pPr>
        <w:pStyle w:val="33"/>
        <w:widowControl w:val="0"/>
        <w:snapToGrid w:val="0"/>
        <w:spacing w:line="300" w:lineRule="auto"/>
        <w:ind w:firstLine="640"/>
        <w:rPr>
          <w:rStyle w:val="35"/>
        </w:rPr>
      </w:pPr>
      <w:r>
        <w:rPr>
          <w:rStyle w:val="35"/>
          <w:rFonts w:hint="eastAsia"/>
        </w:rPr>
        <w:t>（三）加速培育产业发展新动能</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8.支持高校师生开展创新创业活动。强化激励师生和科研人员创新创业的政策措施，鼓励师生和科研人员参加各类创新创业竞赛，支持师生和科研人员领办创办、持股创办科技型企业。推动校企、院企科研人员“双向流动”，提高创新创业人才培养、技术开发和成果转化效能。</w:t>
      </w:r>
      <w:r>
        <w:rPr>
          <w:rFonts w:hint="eastAsia" w:ascii="方正楷体_GBK" w:hAnsi="方正楷体_GBK" w:eastAsia="方正楷体_GBK" w:cs="方正楷体_GBK"/>
        </w:rPr>
        <w:t>（责任单位：区科技局、区委人才办、区教委、区人力社保局、</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高新区管委会、区新城建管委、各产业促进中心）</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9.加快促进科技成果转移转化。大力实施高价值专利培育，促进高价值专利本地转化。主动对接一流高校院所科技成果，以支持小试中试和示范推广为切入点，开展一批重大成果转移转化，打造成渝地区科技成果转化首</w:t>
      </w:r>
      <w:r>
        <w:rPr>
          <w:rFonts w:hint="eastAsia"/>
          <w:lang w:eastAsia="zh-CN"/>
        </w:rPr>
        <w:t>选</w:t>
      </w:r>
      <w:r>
        <w:rPr>
          <w:rFonts w:hint="eastAsia"/>
        </w:rPr>
        <w:t>地。</w:t>
      </w:r>
      <w:r>
        <w:rPr>
          <w:rFonts w:hint="eastAsia" w:ascii="方正楷体_GBK" w:hAnsi="方正楷体_GBK" w:eastAsia="方正楷体_GBK" w:cs="方正楷体_GBK"/>
        </w:rPr>
        <w:t>（责任单位：区科技局、区</w:t>
      </w:r>
      <w:r>
        <w:rPr>
          <w:rFonts w:hint="eastAsia" w:ascii="方正楷体_GBK" w:hAnsi="方正楷体_GBK" w:eastAsia="方正楷体_GBK" w:cs="方正楷体_GBK"/>
          <w:spacing w:val="0"/>
        </w:rPr>
        <w:t>市场监管局、</w:t>
      </w:r>
      <w:r>
        <w:rPr>
          <w:rFonts w:hint="eastAsia" w:ascii="方正楷体_GBK" w:hAnsi="方正楷体_GBK" w:eastAsia="方正楷体_GBK" w:cs="方正楷体_GBK"/>
          <w:spacing w:val="0"/>
          <w:lang w:eastAsia="zh-CN"/>
        </w:rPr>
        <w:t>永川</w:t>
      </w:r>
      <w:r>
        <w:rPr>
          <w:rFonts w:hint="eastAsia" w:ascii="方正楷体_GBK" w:hAnsi="方正楷体_GBK" w:eastAsia="方正楷体_GBK" w:cs="方正楷体_GBK"/>
          <w:spacing w:val="0"/>
        </w:rPr>
        <w:t>高新区管委会、区新城建管委、各产业促进中心）</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10.健全成果转化服务体系。积极引进科技中介服务和孵化机构，补齐成果转化链条。强化科技金融支持，优化科创培育基金和产业发展基金，建立“科技，产业，金融”有机融合体系，推动成果与资本无缝对接，加速更多成果转化落地。</w:t>
      </w:r>
      <w:r>
        <w:rPr>
          <w:rFonts w:hint="eastAsia" w:ascii="方正楷体_GBK" w:hAnsi="方正楷体_GBK" w:eastAsia="方正楷体_GBK" w:cs="方正楷体_GBK"/>
        </w:rPr>
        <w:t>（责任单位：区科技局、区金融办、</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w:t>
      </w:r>
    </w:p>
    <w:p>
      <w:pPr>
        <w:pStyle w:val="33"/>
        <w:widowControl w:val="0"/>
        <w:snapToGrid w:val="0"/>
        <w:spacing w:line="300" w:lineRule="auto"/>
        <w:ind w:firstLine="640"/>
        <w:rPr>
          <w:rStyle w:val="35"/>
        </w:rPr>
      </w:pPr>
      <w:r>
        <w:rPr>
          <w:rStyle w:val="35"/>
          <w:rFonts w:hint="eastAsia"/>
        </w:rPr>
        <w:t>（四）着力构筑产业创新策源地</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11.加快建设科创核心承载区。切实增强各类园区主阵地功能，做大做强国家高新区，加快建设永川科技创新中心和旺龙湖院士专家基地，加速集聚科技资源，激活创新要素，推动高新技术企业和科技型企业集聚发展。</w:t>
      </w:r>
      <w:r>
        <w:rPr>
          <w:rFonts w:hint="eastAsia" w:ascii="方正楷体_GBK" w:hAnsi="方正楷体_GBK" w:eastAsia="方正楷体_GBK" w:cs="方正楷体_GBK"/>
        </w:rPr>
        <w:t>（责任单位：</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高新区管委会、区新城建管委、各产业促进中心）</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12.发展壮大科技企业孵化载体。优化全区孵化载体空间布局，提质壮大环大学创新生态圈，新建一批创新创业孵化基地，完善“众创空间-孵化器-加速器-产业园”全链条孵化载体，打造规模化、专业化、高质量孵化载体。2027年，整合建成全区创新创业场地不低于50万平方。</w:t>
      </w:r>
      <w:r>
        <w:rPr>
          <w:rFonts w:hint="eastAsia" w:ascii="方正楷体_GBK" w:hAnsi="方正楷体_GBK" w:eastAsia="方正楷体_GBK" w:cs="方正楷体_GBK"/>
        </w:rPr>
        <w:t>（责任单位：</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高新区管委会、区新城建管委、各产业促进中心）</w:t>
      </w:r>
    </w:p>
    <w:p>
      <w:pPr>
        <w:pStyle w:val="33"/>
        <w:widowControl w:val="0"/>
        <w:snapToGrid w:val="0"/>
        <w:spacing w:line="300" w:lineRule="auto"/>
        <w:ind w:firstLine="640"/>
        <w:rPr>
          <w:rFonts w:hint="eastAsia" w:ascii="方正楷体_GBK" w:hAnsi="方正楷体_GBK" w:eastAsia="方正楷体_GBK" w:cs="方正楷体_GBK"/>
        </w:rPr>
      </w:pPr>
      <w:r>
        <w:rPr>
          <w:rFonts w:hint="eastAsia"/>
        </w:rPr>
        <w:t>13.新建一批高能级产业技术创新平台。聚焦主导产业和战略新兴产业，深化与国内外著名高校合作，围绕产业链部署创新链，加快引进建设一批新型研发机构，新建若干市级科技创新平台或国家级创新平台分支机构，布局谋划打造重大创新平台，打造产业创新的重要策源地。</w:t>
      </w:r>
      <w:r>
        <w:rPr>
          <w:rFonts w:hint="eastAsia" w:ascii="方正楷体_GBK" w:hAnsi="方正楷体_GBK" w:eastAsia="方正楷体_GBK" w:cs="方正楷体_GBK"/>
        </w:rPr>
        <w:t>（责任单位：区科技局、</w:t>
      </w:r>
      <w:r>
        <w:rPr>
          <w:rFonts w:hint="eastAsia" w:ascii="方正楷体_GBK" w:hAnsi="方正楷体_GBK" w:eastAsia="方正楷体_GBK" w:cs="方正楷体_GBK"/>
          <w:lang w:eastAsia="zh-CN"/>
        </w:rPr>
        <w:t>永川</w:t>
      </w:r>
      <w:r>
        <w:rPr>
          <w:rFonts w:hint="eastAsia" w:ascii="方正楷体_GBK" w:hAnsi="方正楷体_GBK" w:eastAsia="方正楷体_GBK" w:cs="方正楷体_GBK"/>
        </w:rPr>
        <w:t>高新区管委会、区新城建管委）</w:t>
      </w:r>
    </w:p>
    <w:p>
      <w:pPr>
        <w:pStyle w:val="34"/>
        <w:widowControl w:val="0"/>
        <w:snapToGrid w:val="0"/>
        <w:spacing w:line="300" w:lineRule="auto"/>
        <w:ind w:firstLine="640"/>
      </w:pPr>
      <w:r>
        <w:rPr>
          <w:rFonts w:hint="eastAsia"/>
        </w:rPr>
        <w:t>三、保障措施</w:t>
      </w:r>
    </w:p>
    <w:p>
      <w:pPr>
        <w:pStyle w:val="33"/>
        <w:widowControl w:val="0"/>
        <w:snapToGrid w:val="0"/>
        <w:spacing w:line="300" w:lineRule="auto"/>
        <w:ind w:firstLine="640"/>
      </w:pPr>
      <w:r>
        <w:rPr>
          <w:rStyle w:val="35"/>
          <w:rFonts w:hint="eastAsia"/>
        </w:rPr>
        <w:t>（一）加强统筹协调。</w:t>
      </w:r>
      <w:r>
        <w:rPr>
          <w:rFonts w:hint="eastAsia"/>
        </w:rPr>
        <w:t>建立由区政府分管领导为组长、相关区级部门分管负责人为成员的“663”行动计划工作组，统筹推进工作。办公室设在区科技局。相关责任部门按照职能职责和任务分工推进落实，形成工作合力。各责任单位要根据目标任务，制定工作举措，完善政策措施和激励机制，充分发挥区域内园区、高校、科研院所、企业、新型研发机构、科技服务平台等各类主体作用，闭环落实目标任务。</w:t>
      </w:r>
    </w:p>
    <w:p>
      <w:pPr>
        <w:pStyle w:val="33"/>
        <w:widowControl w:val="0"/>
        <w:snapToGrid w:val="0"/>
        <w:spacing w:line="300" w:lineRule="auto"/>
        <w:ind w:firstLine="640"/>
      </w:pPr>
      <w:r>
        <w:rPr>
          <w:rStyle w:val="35"/>
          <w:rFonts w:hint="eastAsia"/>
        </w:rPr>
        <w:t>（二）加大资金投入。</w:t>
      </w:r>
      <w:r>
        <w:rPr>
          <w:rFonts w:hint="eastAsia"/>
        </w:rPr>
        <w:t>建立区财政科技经费稳定增长机制，完善产业、科技、人才、金融支持系列政策，引导企业提高研发投入比例，支持高校、科研院所增加研究支出，实施研发投入加计扣除普惠政策倍增计划。鼓励社会以捐赠和建立基金等方式多渠道投入。</w:t>
      </w:r>
    </w:p>
    <w:p>
      <w:pPr>
        <w:pStyle w:val="33"/>
        <w:widowControl w:val="0"/>
        <w:snapToGrid w:val="0"/>
        <w:spacing w:line="300" w:lineRule="auto"/>
        <w:ind w:firstLine="640"/>
      </w:pPr>
      <w:r>
        <w:rPr>
          <w:rStyle w:val="35"/>
          <w:rFonts w:hint="eastAsia"/>
        </w:rPr>
        <w:t>（三）强化金融支撑。</w:t>
      </w:r>
      <w:r>
        <w:rPr>
          <w:rFonts w:hint="eastAsia"/>
        </w:rPr>
        <w:t>支持股权投资机构投资科技型企业，鼓励科技型企业在多层次资本市场上直接融资。充分发挥政府基金的引导和放大作用，用好知识价值信用贷款、商业价值信用贷款、知识产权质押融资、中小企业风险担保贷款、创新积分贷等金融创新产品，发挥政府性融资担保体系增信分险功能，加大对科技型企业信贷支持。完善“永企</w:t>
      </w:r>
      <w:r>
        <w:rPr>
          <w:rFonts w:hint="eastAsia"/>
          <w:lang w:eastAsia="zh-CN"/>
        </w:rPr>
        <w:t>惠</w:t>
      </w:r>
      <w:r>
        <w:rPr>
          <w:rFonts w:hint="eastAsia"/>
        </w:rPr>
        <w:t>”服务平台功能，促进产业、科技、金融深度融合，加大对科技型企业的支持力度。</w:t>
      </w:r>
    </w:p>
    <w:p>
      <w:pPr>
        <w:pStyle w:val="33"/>
        <w:widowControl w:val="0"/>
        <w:snapToGrid w:val="0"/>
        <w:spacing w:line="300" w:lineRule="auto"/>
        <w:ind w:firstLine="640"/>
      </w:pPr>
      <w:r>
        <w:rPr>
          <w:rStyle w:val="35"/>
          <w:rFonts w:hint="eastAsia"/>
        </w:rPr>
        <w:t>（四）注重考核评价。</w:t>
      </w:r>
      <w:r>
        <w:rPr>
          <w:rFonts w:hint="eastAsia"/>
        </w:rPr>
        <w:t>建立工作督查机制，将目标任务纳入全区考核评价，动态监测工作进展，区政府督查室每个季度开展督察通报，传导压力，有效推动工作落实。建立“663”行动计划定期调度评价机制，联合相关部门对重大事项开展专题研究，通报行动计划进展情况。</w:t>
      </w:r>
    </w:p>
    <w:p>
      <w:pPr>
        <w:pStyle w:val="33"/>
        <w:widowControl w:val="0"/>
        <w:snapToGrid w:val="0"/>
        <w:spacing w:line="300" w:lineRule="auto"/>
        <w:ind w:firstLine="640"/>
      </w:pPr>
      <w:r>
        <w:rPr>
          <w:rStyle w:val="35"/>
          <w:rFonts w:hint="eastAsia"/>
        </w:rPr>
        <w:t>（五）营造发展氛围。</w:t>
      </w:r>
      <w:r>
        <w:rPr>
          <w:rFonts w:hint="eastAsia"/>
        </w:rPr>
        <w:t>统筹做好工作宣传，加强正面宣传和舆论引导，及时总结提炼推广工作最佳实践，营造全社会关心支持的良好氛围。加强创新政策的宣传解读，积极宣传高新技术企业和科技型企业培育发展的典型经验和案例，培育创新创业文化和企业家精神，激发科技人员和企业家的创新创业热情。</w:t>
      </w:r>
    </w:p>
    <w:p>
      <w:pPr>
        <w:snapToGrid w:val="0"/>
        <w:spacing w:line="300" w:lineRule="auto"/>
        <w:ind w:firstLine="640" w:firstLineChars="200"/>
        <w:rPr>
          <w:rFonts w:ascii="Times New Roman" w:hAnsi="Times New Roman" w:eastAsia="方正仿宋_GBK" w:cs="Times New Roman"/>
          <w:sz w:val="32"/>
          <w:szCs w:val="32"/>
        </w:rPr>
      </w:pPr>
    </w:p>
    <w:p>
      <w:pPr>
        <w:snapToGrid w:val="0"/>
        <w:spacing w:line="300" w:lineRule="auto"/>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附件：1.研发投入任务分解</w:t>
      </w:r>
    </w:p>
    <w:p>
      <w:pPr>
        <w:snapToGrid w:val="0"/>
        <w:spacing w:line="300" w:lineRule="auto"/>
        <w:ind w:firstLine="1600" w:firstLineChars="5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高新技术企业培育目标任务分解</w:t>
      </w:r>
    </w:p>
    <w:p>
      <w:pPr>
        <w:snapToGrid w:val="0"/>
        <w:spacing w:line="300" w:lineRule="auto"/>
        <w:ind w:left="16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.科技型企业培育目标任务分解</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snapToGrid w:val="0"/>
        <w:spacing w:beforeLines="0" w:afterLines="0" w:line="240" w:lineRule="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1</w:t>
      </w:r>
    </w:p>
    <w:p>
      <w:pPr>
        <w:snapToGrid w:val="0"/>
        <w:spacing w:before="0" w:beforeLines="0" w:after="0" w:afterLines="0" w:line="24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研发投入任务分解</w:t>
      </w:r>
    </w:p>
    <w:p>
      <w:pPr>
        <w:snapToGrid w:val="0"/>
        <w:spacing w:beforeLines="0" w:afterLines="0" w:line="240" w:lineRule="auto"/>
        <w:jc w:val="right"/>
        <w:rPr>
          <w:rFonts w:ascii="Times New Roman" w:hAnsi="Times New Roman" w:eastAsia="方正仿宋_GBK" w:cs="Times New Roman"/>
          <w:sz w:val="24"/>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24"/>
          <w:szCs w:val="24"/>
        </w:rPr>
        <w:t>（单位：万元）</w:t>
      </w:r>
    </w:p>
    <w:tbl>
      <w:tblPr>
        <w:tblStyle w:val="16"/>
        <w:tblW w:w="8255" w:type="dxa"/>
        <w:jc w:val="center"/>
        <w:tblLayout w:type="autofit"/>
        <w:tblCellMar>
          <w:top w:w="0" w:type="dxa"/>
          <w:left w:w="0" w:type="dxa"/>
          <w:bottom w:w="0" w:type="dxa"/>
          <w:right w:w="0" w:type="dxa"/>
        </w:tblCellMar>
      </w:tblPr>
      <w:tblGrid>
        <w:gridCol w:w="799"/>
        <w:gridCol w:w="1784"/>
        <w:gridCol w:w="1127"/>
        <w:gridCol w:w="1219"/>
        <w:gridCol w:w="1153"/>
        <w:gridCol w:w="1166"/>
        <w:gridCol w:w="1166"/>
      </w:tblGrid>
      <w:tr>
        <w:tblPrEx>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序号</w:t>
            </w: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园区/镇街</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2023年</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2024年</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2025年</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2026年</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2027年</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中山路</w:t>
            </w:r>
            <w:r>
              <w:rPr>
                <w:rFonts w:hint="default" w:ascii="Times New Roman" w:hAnsi="Times New Roman" w:eastAsia="宋体" w:cs="Times New Roman"/>
                <w:color w:val="000000"/>
                <w:kern w:val="0"/>
                <w:sz w:val="22"/>
                <w:lang w:eastAsia="zh-CN" w:bidi="ar"/>
              </w:rPr>
              <w:t>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904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1035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1155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胜利路</w:t>
            </w:r>
            <w:r>
              <w:rPr>
                <w:rFonts w:hint="default" w:ascii="Times New Roman" w:hAnsi="Times New Roman" w:eastAsia="宋体" w:cs="Times New Roman"/>
                <w:color w:val="000000"/>
                <w:kern w:val="0"/>
                <w:sz w:val="22"/>
                <w:lang w:eastAsia="zh-CN" w:bidi="ar"/>
              </w:rPr>
              <w:t>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3863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4443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4933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5649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6048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南大街</w:t>
            </w:r>
            <w:r>
              <w:rPr>
                <w:rFonts w:hint="default" w:ascii="Times New Roman" w:hAnsi="Times New Roman" w:eastAsia="宋体" w:cs="Times New Roman"/>
                <w:color w:val="000000"/>
                <w:kern w:val="0"/>
                <w:sz w:val="22"/>
                <w:lang w:eastAsia="zh-CN" w:bidi="ar"/>
              </w:rPr>
              <w:t>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479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781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茶山竹海</w:t>
            </w:r>
            <w:r>
              <w:rPr>
                <w:rFonts w:hint="default" w:ascii="Times New Roman" w:hAnsi="Times New Roman" w:eastAsia="宋体" w:cs="Times New Roman"/>
                <w:color w:val="000000"/>
                <w:kern w:val="0"/>
                <w:sz w:val="22"/>
                <w:lang w:eastAsia="zh-CN" w:bidi="ar"/>
              </w:rPr>
              <w:t>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263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大安街道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3345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3847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4271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4890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5358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陈食街道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4884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5616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6236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7140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7863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卫星湖</w:t>
            </w:r>
            <w:r>
              <w:rPr>
                <w:rFonts w:hint="default" w:ascii="Times New Roman" w:hAnsi="Times New Roman" w:eastAsia="宋体" w:cs="Times New Roman"/>
                <w:color w:val="000000"/>
                <w:kern w:val="0"/>
                <w:sz w:val="22"/>
                <w:lang w:eastAsia="zh-CN" w:bidi="ar"/>
              </w:rPr>
              <w:t>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553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青峰镇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569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金龙镇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82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临江镇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287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何埂镇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555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松溉镇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82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仙龙镇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227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吉安镇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59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五间镇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123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来苏镇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949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1087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1155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宝峰镇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82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双石镇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958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1063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1218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1358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红炉镇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326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永荣镇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92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三教镇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1339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1540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1710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1958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2341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板桥镇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133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朱沱镇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391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434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510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eastAsia="zh-CN" w:bidi="ar"/>
              </w:rPr>
              <w:t>永川</w:t>
            </w:r>
            <w:r>
              <w:rPr>
                <w:rFonts w:hint="default" w:ascii="Times New Roman" w:hAnsi="Times New Roman" w:eastAsia="宋体" w:cs="Times New Roman"/>
                <w:color w:val="000000"/>
                <w:kern w:val="0"/>
                <w:sz w:val="22"/>
                <w:lang w:bidi="ar"/>
              </w:rPr>
              <w:t>高新区管委会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204920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235658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261662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299603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335134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三教产业</w:t>
            </w:r>
            <w:r>
              <w:rPr>
                <w:rFonts w:hint="default" w:ascii="Times New Roman" w:hAnsi="Times New Roman" w:eastAsia="宋体" w:cs="Times New Roman"/>
                <w:color w:val="000000"/>
                <w:kern w:val="0"/>
                <w:sz w:val="22"/>
                <w:lang w:eastAsia="zh-CN" w:bidi="ar"/>
              </w:rPr>
              <w:t>促进中心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51830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59604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66181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75778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84707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港桥产业</w:t>
            </w:r>
            <w:r>
              <w:rPr>
                <w:rFonts w:hint="default" w:ascii="Times New Roman" w:hAnsi="Times New Roman" w:eastAsia="宋体" w:cs="Times New Roman"/>
                <w:color w:val="000000"/>
                <w:kern w:val="0"/>
                <w:sz w:val="22"/>
                <w:lang w:eastAsia="zh-CN" w:bidi="ar"/>
              </w:rPr>
              <w:t>促进中心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67038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77094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85601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98013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109304 </w:t>
            </w:r>
          </w:p>
        </w:tc>
      </w:tr>
      <w:tr>
        <w:tblPrEx>
          <w:tblCellMar>
            <w:top w:w="0" w:type="dxa"/>
            <w:left w:w="0" w:type="dxa"/>
            <w:bottom w:w="0" w:type="dxa"/>
            <w:right w:w="0" w:type="dxa"/>
          </w:tblCellMar>
        </w:tblPrEx>
        <w:trPr>
          <w:trHeight w:val="3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大数据产业园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24811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28533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31682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36276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40854 </w:t>
            </w:r>
          </w:p>
        </w:tc>
      </w:tr>
      <w:tr>
        <w:tblPrEx>
          <w:tblCellMar>
            <w:top w:w="0" w:type="dxa"/>
            <w:left w:w="0" w:type="dxa"/>
            <w:bottom w:w="0" w:type="dxa"/>
            <w:right w:w="0" w:type="dxa"/>
          </w:tblCellMar>
        </w:tblPrEx>
        <w:trPr>
          <w:trHeight w:val="34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36724</w:t>
            </w:r>
            <w:r>
              <w:rPr>
                <w:rFonts w:hint="eastAsia" w:ascii="Times New Roman" w:hAnsi="Times New Roman" w:eastAsia="宋体" w:cs="Times New Roman"/>
                <w:color w:val="000000"/>
                <w:kern w:val="0"/>
                <w:sz w:val="22"/>
                <w:lang w:val="en-US" w:eastAsia="zh-CN" w:bidi="ar"/>
              </w:rPr>
              <w:t>6</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42233</w:t>
            </w:r>
            <w:r>
              <w:rPr>
                <w:rFonts w:hint="eastAsia" w:ascii="Times New Roman" w:hAnsi="Times New Roman" w:eastAsia="宋体" w:cs="Times New Roman"/>
                <w:color w:val="000000"/>
                <w:kern w:val="0"/>
                <w:sz w:val="22"/>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46893</w:t>
            </w:r>
            <w:r>
              <w:rPr>
                <w:rFonts w:hint="eastAsia" w:ascii="Times New Roman" w:hAnsi="Times New Roman" w:eastAsia="宋体" w:cs="Times New Roman"/>
                <w:color w:val="000000"/>
                <w:kern w:val="0"/>
                <w:sz w:val="22"/>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536930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600000 </w:t>
            </w:r>
          </w:p>
        </w:tc>
      </w:tr>
    </w:tbl>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pPr>
        <w:snapToGrid w:val="0"/>
        <w:spacing w:beforeLines="0" w:afterLines="0" w:line="240" w:lineRule="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2</w:t>
      </w:r>
    </w:p>
    <w:p>
      <w:pPr>
        <w:snapToGrid w:val="0"/>
        <w:spacing w:before="0" w:beforeLines="0" w:after="0" w:afterLines="0" w:line="24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高新技术企业培育目标任务分解</w:t>
      </w:r>
    </w:p>
    <w:p>
      <w:pPr>
        <w:snapToGrid w:val="0"/>
        <w:spacing w:before="0" w:beforeLines="0" w:after="0" w:afterLines="0" w:line="240" w:lineRule="auto"/>
        <w:jc w:val="both"/>
        <w:rPr>
          <w:rFonts w:hint="eastAsia" w:ascii="方正仿宋_GBK" w:hAnsi="方正仿宋_GBK" w:eastAsia="方正仿宋_GBK" w:cs="方正仿宋_GBK"/>
          <w:sz w:val="32"/>
          <w:szCs w:val="32"/>
        </w:rPr>
      </w:pPr>
    </w:p>
    <w:p>
      <w:pPr>
        <w:snapToGrid w:val="0"/>
        <w:spacing w:beforeLines="0" w:afterLines="0" w:line="240" w:lineRule="auto"/>
        <w:jc w:val="right"/>
        <w:rPr>
          <w:rFonts w:ascii="Times New Roman" w:hAnsi="Times New Roman" w:eastAsia="方正仿宋_GBK" w:cs="Times New Roman"/>
          <w:sz w:val="24"/>
        </w:rPr>
      </w:pPr>
      <w:r>
        <w:rPr>
          <w:rFonts w:hint="eastAsia" w:ascii="方正小标宋_GBK" w:hAnsi="方正小标宋_GBK" w:eastAsia="方正小标宋_GBK" w:cs="方正小标宋_GBK"/>
          <w:sz w:val="44"/>
          <w:szCs w:val="44"/>
        </w:rPr>
        <w:t xml:space="preserve">                               </w:t>
      </w:r>
      <w:r>
        <w:rPr>
          <w:rFonts w:hint="eastAsia" w:ascii="Times New Roman" w:hAnsi="Times New Roman" w:eastAsia="方正仿宋_GBK" w:cs="Times New Roman"/>
          <w:sz w:val="24"/>
          <w:szCs w:val="24"/>
        </w:rPr>
        <w:t>（单位：家）</w:t>
      </w:r>
    </w:p>
    <w:tbl>
      <w:tblPr>
        <w:tblStyle w:val="16"/>
        <w:tblW w:w="8877" w:type="dxa"/>
        <w:jc w:val="center"/>
        <w:tblLayout w:type="autofit"/>
        <w:tblCellMar>
          <w:top w:w="0" w:type="dxa"/>
          <w:left w:w="0" w:type="dxa"/>
          <w:bottom w:w="0" w:type="dxa"/>
          <w:right w:w="0" w:type="dxa"/>
        </w:tblCellMar>
      </w:tblPr>
      <w:tblGrid>
        <w:gridCol w:w="861"/>
        <w:gridCol w:w="1829"/>
        <w:gridCol w:w="984"/>
        <w:gridCol w:w="984"/>
        <w:gridCol w:w="984"/>
        <w:gridCol w:w="984"/>
        <w:gridCol w:w="1070"/>
        <w:gridCol w:w="1181"/>
      </w:tblGrid>
      <w:tr>
        <w:tblPrEx>
          <w:tblCellMar>
            <w:top w:w="0" w:type="dxa"/>
            <w:left w:w="0" w:type="dxa"/>
            <w:bottom w:w="0" w:type="dxa"/>
            <w:right w:w="0" w:type="dxa"/>
          </w:tblCellMar>
        </w:tblPrEx>
        <w:trPr>
          <w:trHeight w:val="497"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序号</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园区</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2022年</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2023年</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2024年</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2025年</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2026年</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2027年</w:t>
            </w:r>
          </w:p>
        </w:tc>
      </w:tr>
      <w:tr>
        <w:tblPrEx>
          <w:tblCellMar>
            <w:top w:w="0" w:type="dxa"/>
            <w:left w:w="0" w:type="dxa"/>
            <w:bottom w:w="0" w:type="dxa"/>
            <w:right w:w="0" w:type="dxa"/>
          </w:tblCellMar>
        </w:tblPrEx>
        <w:trPr>
          <w:trHeight w:val="49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eastAsia="zh-CN" w:bidi="ar"/>
              </w:rPr>
              <w:t>永川</w:t>
            </w:r>
            <w:r>
              <w:rPr>
                <w:rFonts w:hint="default" w:ascii="Times New Roman" w:hAnsi="Times New Roman" w:eastAsia="宋体" w:cs="Times New Roman"/>
                <w:color w:val="000000"/>
                <w:kern w:val="0"/>
                <w:sz w:val="22"/>
                <w:lang w:bidi="ar"/>
              </w:rPr>
              <w:t>高新区管委会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w:t>
            </w:r>
            <w:r>
              <w:rPr>
                <w:rFonts w:hint="eastAsia" w:ascii="Times New Roman" w:hAnsi="Times New Roman" w:eastAsia="宋体" w:cs="Times New Roman"/>
                <w:color w:val="000000"/>
                <w:kern w:val="0"/>
                <w:sz w:val="22"/>
                <w:lang w:val="en-US" w:eastAsia="zh-CN" w:bidi="ar"/>
              </w:rPr>
              <w:t>6</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eastAsia="zh-CN" w:bidi="ar"/>
              </w:rPr>
              <w:t>3</w:t>
            </w:r>
            <w:r>
              <w:rPr>
                <w:rFonts w:hint="eastAsia" w:ascii="Times New Roman" w:hAnsi="Times New Roman" w:eastAsia="宋体" w:cs="Times New Roman"/>
                <w:color w:val="000000"/>
                <w:kern w:val="0"/>
                <w:sz w:val="22"/>
                <w:lang w:val="en-US" w:eastAsia="zh-CN" w:bidi="ar"/>
              </w:rPr>
              <w:t>9</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28</w:t>
            </w:r>
            <w:r>
              <w:rPr>
                <w:rFonts w:hint="eastAsia" w:ascii="Times New Roman" w:hAnsi="Times New Roman" w:eastAsia="宋体" w:cs="Times New Roman"/>
                <w:color w:val="000000"/>
                <w:kern w:val="0"/>
                <w:sz w:val="22"/>
                <w:lang w:eastAsia="zh-CN" w:bidi="ar"/>
              </w:rPr>
              <w:t>7</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334 </w:t>
            </w:r>
          </w:p>
        </w:tc>
      </w:tr>
      <w:tr>
        <w:tblPrEx>
          <w:tblCellMar>
            <w:top w:w="0" w:type="dxa"/>
            <w:left w:w="0" w:type="dxa"/>
            <w:bottom w:w="0" w:type="dxa"/>
            <w:right w:w="0" w:type="dxa"/>
          </w:tblCellMar>
        </w:tblPrEx>
        <w:trPr>
          <w:trHeight w:val="49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三教产业</w:t>
            </w:r>
            <w:r>
              <w:rPr>
                <w:rFonts w:hint="default" w:ascii="Times New Roman" w:hAnsi="Times New Roman" w:eastAsia="宋体" w:cs="Times New Roman"/>
                <w:color w:val="000000"/>
                <w:kern w:val="0"/>
                <w:sz w:val="22"/>
                <w:lang w:eastAsia="zh-CN" w:bidi="ar"/>
              </w:rPr>
              <w:t>促进中心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eastAsia="zh-CN" w:bidi="ar"/>
              </w:rPr>
              <w:t>8</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61 </w:t>
            </w:r>
          </w:p>
        </w:tc>
      </w:tr>
      <w:tr>
        <w:tblPrEx>
          <w:tblCellMar>
            <w:top w:w="0" w:type="dxa"/>
            <w:left w:w="0" w:type="dxa"/>
            <w:bottom w:w="0" w:type="dxa"/>
            <w:right w:w="0" w:type="dxa"/>
          </w:tblCellMar>
        </w:tblPrEx>
        <w:trPr>
          <w:trHeight w:val="49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港桥产业</w:t>
            </w:r>
            <w:r>
              <w:rPr>
                <w:rFonts w:hint="default" w:ascii="Times New Roman" w:hAnsi="Times New Roman" w:eastAsia="宋体" w:cs="Times New Roman"/>
                <w:color w:val="000000"/>
                <w:kern w:val="0"/>
                <w:sz w:val="22"/>
                <w:lang w:eastAsia="zh-CN" w:bidi="ar"/>
              </w:rPr>
              <w:t>促进中心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eastAsia="zh-CN" w:bidi="ar"/>
              </w:rPr>
              <w:t>3</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eastAsia="zh-CN" w:bidi="ar"/>
              </w:rPr>
              <w:t>1</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69 </w:t>
            </w:r>
          </w:p>
        </w:tc>
      </w:tr>
      <w:tr>
        <w:tblPrEx>
          <w:tblCellMar>
            <w:top w:w="0" w:type="dxa"/>
            <w:left w:w="0" w:type="dxa"/>
            <w:bottom w:w="0" w:type="dxa"/>
            <w:right w:w="0" w:type="dxa"/>
          </w:tblCellMar>
        </w:tblPrEx>
        <w:trPr>
          <w:trHeight w:val="49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大数据产业园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eastAsia="zh-CN" w:bidi="ar"/>
              </w:rPr>
              <w:t>1</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eastAsia="zh-CN" w:bidi="ar"/>
              </w:rPr>
              <w:t>1</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86 </w:t>
            </w:r>
          </w:p>
        </w:tc>
      </w:tr>
      <w:tr>
        <w:tblPrEx>
          <w:tblCellMar>
            <w:top w:w="0" w:type="dxa"/>
            <w:left w:w="0" w:type="dxa"/>
            <w:bottom w:w="0" w:type="dxa"/>
            <w:right w:w="0" w:type="dxa"/>
          </w:tblCellMar>
        </w:tblPrEx>
        <w:trPr>
          <w:trHeight w:val="49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eastAsia="zh-CN" w:bidi="ar"/>
              </w:rPr>
              <w:t>区</w:t>
            </w:r>
            <w:r>
              <w:rPr>
                <w:rFonts w:hint="default" w:ascii="Times New Roman" w:hAnsi="Times New Roman" w:eastAsia="宋体" w:cs="Times New Roman"/>
                <w:color w:val="000000"/>
                <w:kern w:val="0"/>
                <w:sz w:val="22"/>
                <w:lang w:bidi="ar"/>
              </w:rPr>
              <w:t>招商</w:t>
            </w:r>
            <w:r>
              <w:rPr>
                <w:rFonts w:hint="default" w:ascii="Times New Roman" w:hAnsi="Times New Roman" w:eastAsia="宋体" w:cs="Times New Roman"/>
                <w:color w:val="000000"/>
                <w:kern w:val="0"/>
                <w:sz w:val="22"/>
                <w:lang w:eastAsia="zh-CN" w:bidi="ar"/>
              </w:rPr>
              <w:t>投资</w:t>
            </w:r>
            <w:r>
              <w:rPr>
                <w:rFonts w:hint="default" w:ascii="Times New Roman" w:hAnsi="Times New Roman" w:eastAsia="宋体" w:cs="Times New Roman"/>
                <w:color w:val="000000"/>
                <w:kern w:val="0"/>
                <w:sz w:val="22"/>
                <w:lang w:bidi="ar"/>
              </w:rPr>
              <w:t>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50 </w:t>
            </w:r>
          </w:p>
        </w:tc>
      </w:tr>
      <w:tr>
        <w:tblPrEx>
          <w:tblCellMar>
            <w:top w:w="0" w:type="dxa"/>
            <w:left w:w="0" w:type="dxa"/>
            <w:bottom w:w="0" w:type="dxa"/>
            <w:right w:w="0" w:type="dxa"/>
          </w:tblCellMar>
        </w:tblPrEx>
        <w:trPr>
          <w:trHeight w:val="507"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eastAsia="zh-CN" w:bidi="ar"/>
              </w:rPr>
              <w:t>2</w:t>
            </w:r>
            <w:r>
              <w:rPr>
                <w:rFonts w:hint="eastAsia" w:ascii="Times New Roman" w:hAnsi="Times New Roman" w:eastAsia="宋体" w:cs="Times New Roman"/>
                <w:color w:val="000000"/>
                <w:kern w:val="0"/>
                <w:sz w:val="22"/>
                <w:lang w:val="en-US" w:eastAsia="zh-CN" w:bidi="ar"/>
              </w:rPr>
              <w:t>80</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eastAsia="zh-CN" w:bidi="ar"/>
              </w:rPr>
              <w:t>5</w:t>
            </w:r>
            <w:r>
              <w:rPr>
                <w:rFonts w:hint="eastAsia" w:ascii="Times New Roman" w:hAnsi="Times New Roman" w:eastAsia="宋体" w:cs="Times New Roman"/>
                <w:color w:val="000000"/>
                <w:kern w:val="0"/>
                <w:sz w:val="22"/>
                <w:lang w:val="en-US" w:eastAsia="zh-CN" w:bidi="ar"/>
              </w:rPr>
              <w:t>0</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42</w:t>
            </w:r>
            <w:r>
              <w:rPr>
                <w:rFonts w:hint="eastAsia" w:ascii="Times New Roman" w:hAnsi="Times New Roman" w:eastAsia="宋体" w:cs="Times New Roman"/>
                <w:color w:val="000000"/>
                <w:kern w:val="0"/>
                <w:sz w:val="22"/>
                <w:lang w:eastAsia="zh-CN" w:bidi="ar"/>
              </w:rPr>
              <w:t>0</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eastAsia="zh-CN" w:bidi="ar"/>
              </w:rPr>
              <w:t>1</w:t>
            </w:r>
            <w:r>
              <w:rPr>
                <w:rFonts w:hint="eastAsia" w:ascii="Times New Roman" w:hAnsi="Times New Roman" w:eastAsia="宋体" w:cs="Times New Roman"/>
                <w:color w:val="000000"/>
                <w:kern w:val="0"/>
                <w:sz w:val="22"/>
                <w:lang w:val="en-US" w:eastAsia="zh-CN" w:bidi="ar"/>
              </w:rPr>
              <w:t>0</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600 </w:t>
            </w:r>
          </w:p>
        </w:tc>
      </w:tr>
    </w:tbl>
    <w:p>
      <w:pPr>
        <w:snapToGrid w:val="0"/>
        <w:spacing w:beforeLines="0" w:afterLines="0" w:line="240" w:lineRule="auto"/>
        <w:rPr>
          <w:rFonts w:hint="eastAsia" w:ascii="方正黑体_GBK" w:hAnsi="方正黑体_GBK" w:eastAsia="方正黑体_GBK" w:cs="方正黑体_GBK"/>
          <w:sz w:val="32"/>
          <w:szCs w:val="32"/>
        </w:rPr>
      </w:pPr>
    </w:p>
    <w:p>
      <w:pPr>
        <w:pStyle w:val="2"/>
        <w:rPr>
          <w:rFonts w:hint="eastAsia" w:ascii="方正黑体_GBK" w:hAnsi="方正黑体_GBK" w:eastAsia="方正黑体_GBK" w:cs="方正黑体_GBK"/>
          <w:sz w:val="32"/>
          <w:szCs w:val="32"/>
        </w:rPr>
      </w:pPr>
    </w:p>
    <w:p>
      <w:pPr>
        <w:rPr>
          <w:rFonts w:hint="eastAsia"/>
        </w:rPr>
      </w:pPr>
      <w:r>
        <w:rPr>
          <w:rFonts w:hint="eastAsia"/>
        </w:rPr>
        <w:br w:type="page"/>
      </w:r>
    </w:p>
    <w:p>
      <w:pPr>
        <w:snapToGrid w:val="0"/>
        <w:spacing w:beforeLines="0" w:afterLines="0" w:line="240" w:lineRule="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3</w:t>
      </w:r>
    </w:p>
    <w:p>
      <w:pPr>
        <w:snapToGrid w:val="0"/>
        <w:spacing w:before="0" w:beforeLines="0" w:after="0" w:afterLines="0" w:line="24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科技型企业培育目标任务分解</w:t>
      </w:r>
    </w:p>
    <w:p>
      <w:pPr>
        <w:snapToGrid w:val="0"/>
        <w:spacing w:before="0" w:beforeLines="0" w:after="0" w:afterLines="0" w:line="240" w:lineRule="auto"/>
        <w:jc w:val="both"/>
        <w:rPr>
          <w:rFonts w:hint="eastAsia" w:ascii="方正仿宋_GBK" w:hAnsi="方正仿宋_GBK" w:eastAsia="方正仿宋_GBK" w:cs="方正仿宋_GBK"/>
          <w:sz w:val="32"/>
          <w:szCs w:val="32"/>
        </w:rPr>
      </w:pPr>
    </w:p>
    <w:p>
      <w:pPr>
        <w:snapToGrid w:val="0"/>
        <w:spacing w:beforeLines="0" w:afterLines="0" w:line="240" w:lineRule="auto"/>
        <w:jc w:val="center"/>
        <w:rPr>
          <w:rFonts w:ascii="Times New Roman" w:hAnsi="Times New Roman" w:eastAsia="方正仿宋_GBK" w:cs="Times New Roman"/>
          <w:sz w:val="24"/>
        </w:rPr>
      </w:pPr>
      <w:r>
        <w:rPr>
          <w:rFonts w:hint="eastAsia" w:ascii="Times New Roman" w:hAnsi="Times New Roman" w:eastAsia="方正仿宋_GBK" w:cs="Times New Roman"/>
          <w:sz w:val="24"/>
          <w:szCs w:val="24"/>
        </w:rPr>
        <w:t xml:space="preserve">                                                      （单位：家）</w:t>
      </w:r>
    </w:p>
    <w:tbl>
      <w:tblPr>
        <w:tblStyle w:val="16"/>
        <w:tblW w:w="8473" w:type="dxa"/>
        <w:jc w:val="center"/>
        <w:tblLayout w:type="autofit"/>
        <w:tblCellMar>
          <w:top w:w="0" w:type="dxa"/>
          <w:left w:w="0" w:type="dxa"/>
          <w:bottom w:w="0" w:type="dxa"/>
          <w:right w:w="0" w:type="dxa"/>
        </w:tblCellMar>
      </w:tblPr>
      <w:tblGrid>
        <w:gridCol w:w="960"/>
        <w:gridCol w:w="1784"/>
        <w:gridCol w:w="960"/>
        <w:gridCol w:w="960"/>
        <w:gridCol w:w="1044"/>
        <w:gridCol w:w="960"/>
        <w:gridCol w:w="1044"/>
        <w:gridCol w:w="960"/>
      </w:tblGrid>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序号</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镇街/园区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2022年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2023年</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2024年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2025年</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2026年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2027年</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中山路</w:t>
            </w:r>
            <w:r>
              <w:rPr>
                <w:rFonts w:hint="default" w:ascii="Times New Roman" w:hAnsi="Times New Roman" w:eastAsia="宋体" w:cs="Times New Roman"/>
                <w:color w:val="000000"/>
                <w:kern w:val="0"/>
                <w:sz w:val="22"/>
                <w:lang w:eastAsia="zh-CN" w:bidi="ar"/>
              </w:rPr>
              <w:t>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30</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w:t>
            </w:r>
            <w:r>
              <w:rPr>
                <w:rFonts w:hint="eastAsia" w:ascii="Times New Roman" w:hAnsi="Times New Roman" w:eastAsia="宋体" w:cs="Times New Roman"/>
                <w:color w:val="000000"/>
                <w:kern w:val="0"/>
                <w:sz w:val="22"/>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80</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val="en-US" w:eastAsia="zh-CN" w:bidi="ar"/>
              </w:rPr>
              <w:t>05</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胜利路</w:t>
            </w:r>
            <w:r>
              <w:rPr>
                <w:rFonts w:hint="default" w:ascii="Times New Roman" w:hAnsi="Times New Roman" w:eastAsia="宋体" w:cs="Times New Roman"/>
                <w:color w:val="000000"/>
                <w:kern w:val="0"/>
                <w:sz w:val="22"/>
                <w:lang w:eastAsia="zh-CN" w:bidi="ar"/>
              </w:rPr>
              <w:t>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64</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7</w:t>
            </w:r>
            <w:r>
              <w:rPr>
                <w:rFonts w:hint="eastAsia" w:ascii="Times New Roman" w:hAnsi="Times New Roman" w:eastAsia="宋体" w:cs="Times New Roman"/>
                <w:color w:val="000000"/>
                <w:kern w:val="0"/>
                <w:sz w:val="22"/>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w:t>
            </w:r>
            <w:r>
              <w:rPr>
                <w:rFonts w:hint="eastAsia" w:ascii="Times New Roman" w:hAnsi="Times New Roman" w:eastAsia="宋体" w:cs="Times New Roman"/>
                <w:color w:val="000000"/>
                <w:kern w:val="0"/>
                <w:sz w:val="22"/>
                <w:lang w:val="en-US" w:eastAsia="zh-CN" w:bidi="ar"/>
              </w:rPr>
              <w:t>8</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100</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南大街</w:t>
            </w:r>
            <w:r>
              <w:rPr>
                <w:rFonts w:hint="default" w:ascii="Times New Roman" w:hAnsi="Times New Roman" w:eastAsia="宋体" w:cs="Times New Roman"/>
                <w:color w:val="000000"/>
                <w:kern w:val="0"/>
                <w:sz w:val="22"/>
                <w:lang w:eastAsia="zh-CN" w:bidi="ar"/>
              </w:rPr>
              <w:t>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101</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w:t>
            </w:r>
            <w:r>
              <w:rPr>
                <w:rFonts w:hint="eastAsia" w:ascii="Times New Roman" w:hAnsi="Times New Roman" w:eastAsia="宋体" w:cs="Times New Roman"/>
                <w:color w:val="000000"/>
                <w:kern w:val="0"/>
                <w:sz w:val="22"/>
                <w:lang w:val="en-US" w:eastAsia="zh-CN" w:bidi="ar"/>
              </w:rPr>
              <w:t>9</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58</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茶山竹海</w:t>
            </w:r>
            <w:r>
              <w:rPr>
                <w:rFonts w:hint="default" w:ascii="Times New Roman" w:hAnsi="Times New Roman" w:eastAsia="宋体" w:cs="Times New Roman"/>
                <w:color w:val="000000"/>
                <w:kern w:val="0"/>
                <w:sz w:val="22"/>
                <w:lang w:eastAsia="zh-CN" w:bidi="ar"/>
              </w:rPr>
              <w:t>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val="en-US" w:eastAsia="zh-CN" w:bidi="ar"/>
              </w:rPr>
              <w:t>3</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31</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5</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大安街道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val="en-US" w:eastAsia="zh-CN" w:bidi="ar"/>
              </w:rPr>
              <w:t>7</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5</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74</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陈食街道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42</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8</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66</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卫星湖</w:t>
            </w:r>
            <w:r>
              <w:rPr>
                <w:rFonts w:hint="default" w:ascii="Times New Roman" w:hAnsi="Times New Roman" w:eastAsia="宋体" w:cs="Times New Roman"/>
                <w:color w:val="000000"/>
                <w:kern w:val="0"/>
                <w:sz w:val="22"/>
                <w:lang w:eastAsia="zh-CN" w:bidi="ar"/>
              </w:rPr>
              <w:t>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30</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42</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val="en-US" w:eastAsia="zh-CN" w:bidi="ar"/>
              </w:rPr>
              <w:t>8</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青峰镇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w:t>
            </w:r>
            <w:r>
              <w:rPr>
                <w:rFonts w:hint="eastAsia" w:ascii="Times New Roman" w:hAnsi="Times New Roman" w:eastAsia="宋体" w:cs="Times New Roman"/>
                <w:color w:val="000000"/>
                <w:kern w:val="0"/>
                <w:sz w:val="22"/>
                <w:lang w:val="en-US" w:eastAsia="zh-CN" w:bidi="ar"/>
              </w:rPr>
              <w:t>6</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9</w:t>
            </w:r>
            <w:r>
              <w:rPr>
                <w:rFonts w:hint="eastAsia" w:ascii="Times New Roman" w:hAnsi="Times New Roman" w:eastAsia="宋体" w:cs="Times New Roman"/>
                <w:color w:val="000000"/>
                <w:kern w:val="0"/>
                <w:sz w:val="22"/>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18</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金龙镇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kern w:val="0"/>
                <w:sz w:val="22"/>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5</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kern w:val="0"/>
                <w:sz w:val="22"/>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7</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kern w:val="0"/>
                <w:sz w:val="22"/>
                <w:lang w:val="en-US" w:eastAsia="zh-CN" w:bidi="ar"/>
              </w:rPr>
              <w:t>8</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临江镇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21</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29</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33</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何埂镇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26</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36</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val="en-US" w:eastAsia="zh-CN" w:bidi="ar"/>
              </w:rPr>
              <w:t>1</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松溉镇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kern w:val="0"/>
                <w:sz w:val="22"/>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7</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仙龙镇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22</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30</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34</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吉安镇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kern w:val="0"/>
                <w:sz w:val="22"/>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6</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kern w:val="0"/>
                <w:sz w:val="22"/>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8</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kern w:val="0"/>
                <w:sz w:val="22"/>
                <w:lang w:val="en-US" w:eastAsia="zh-CN" w:bidi="ar"/>
              </w:rPr>
              <w:t>9</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五间镇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32</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val="en-US" w:eastAsia="zh-CN" w:bidi="ar"/>
              </w:rPr>
              <w:t>4</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0</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来苏镇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9</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53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0</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宝峰镇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2</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8</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双石镇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9</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w:t>
            </w:r>
            <w:r>
              <w:rPr>
                <w:rFonts w:hint="eastAsia" w:ascii="Times New Roman" w:hAnsi="Times New Roman" w:eastAsia="宋体" w:cs="Times New Roman"/>
                <w:color w:val="000000"/>
                <w:kern w:val="0"/>
                <w:sz w:val="22"/>
                <w:lang w:val="en-US" w:eastAsia="zh-CN" w:bidi="ar"/>
              </w:rPr>
              <w:t>5</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08</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红炉镇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6</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val="en-US" w:eastAsia="zh-CN" w:bidi="ar"/>
              </w:rPr>
              <w:t>2</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val="en-US" w:eastAsia="zh-CN" w:bidi="ar"/>
              </w:rPr>
              <w:t>5</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永荣镇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eastAsia" w:ascii="Times New Roman" w:hAnsi="Times New Roman" w:eastAsia="宋体" w:cs="Times New Roman"/>
                <w:color w:val="000000"/>
                <w:kern w:val="0"/>
                <w:sz w:val="22"/>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7</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10</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三教镇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8</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2</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59</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板桥镇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32</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val="en-US" w:eastAsia="zh-CN" w:bidi="ar"/>
              </w:rPr>
              <w:t>4</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0</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朱沱镇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43</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9</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eastAsia"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7</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eastAsia="zh-CN" w:bidi="ar"/>
              </w:rPr>
              <w:t>永川</w:t>
            </w:r>
            <w:r>
              <w:rPr>
                <w:rFonts w:hint="default" w:ascii="Times New Roman" w:hAnsi="Times New Roman" w:eastAsia="宋体" w:cs="Times New Roman"/>
                <w:color w:val="000000"/>
                <w:kern w:val="0"/>
                <w:sz w:val="22"/>
                <w:lang w:bidi="ar"/>
              </w:rPr>
              <w:t>高新区管委会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w:t>
            </w:r>
            <w:r>
              <w:rPr>
                <w:rFonts w:hint="eastAsia" w:ascii="Times New Roman" w:hAnsi="Times New Roman" w:eastAsia="宋体" w:cs="Times New Roman"/>
                <w:color w:val="000000"/>
                <w:kern w:val="0"/>
                <w:sz w:val="22"/>
                <w:lang w:val="en-US" w:eastAsia="zh-CN" w:bidi="ar"/>
              </w:rPr>
              <w:t>82</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5</w:t>
            </w:r>
            <w:r>
              <w:rPr>
                <w:rFonts w:hint="eastAsia" w:ascii="Times New Roman" w:hAnsi="Times New Roman" w:eastAsia="宋体" w:cs="Times New Roman"/>
                <w:color w:val="000000"/>
                <w:kern w:val="0"/>
                <w:sz w:val="22"/>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6</w:t>
            </w:r>
            <w:r>
              <w:rPr>
                <w:rFonts w:hint="eastAsia" w:ascii="Times New Roman" w:hAnsi="Times New Roman" w:eastAsia="宋体" w:cs="Times New Roman"/>
                <w:color w:val="000000"/>
                <w:kern w:val="0"/>
                <w:sz w:val="22"/>
                <w:lang w:val="en-US" w:eastAsia="zh-CN" w:bidi="ar"/>
              </w:rPr>
              <w:t>62</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7</w:t>
            </w:r>
            <w:r>
              <w:rPr>
                <w:rFonts w:hint="eastAsia" w:ascii="Times New Roman" w:hAnsi="Times New Roman" w:eastAsia="宋体" w:cs="Times New Roman"/>
                <w:color w:val="000000"/>
                <w:kern w:val="0"/>
                <w:sz w:val="22"/>
                <w:lang w:val="en-US" w:eastAsia="zh-CN" w:bidi="ar"/>
              </w:rPr>
              <w:t>52</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三教产业</w:t>
            </w:r>
            <w:r>
              <w:rPr>
                <w:rFonts w:hint="default" w:ascii="Times New Roman" w:hAnsi="Times New Roman" w:eastAsia="宋体" w:cs="Times New Roman"/>
                <w:color w:val="000000"/>
                <w:kern w:val="0"/>
                <w:sz w:val="22"/>
                <w:lang w:eastAsia="zh-CN" w:bidi="ar"/>
              </w:rPr>
              <w:t>促进中心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54</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212</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241</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eastAsia="zh-CN"/>
              </w:rPr>
            </w:pPr>
            <w:r>
              <w:rPr>
                <w:rFonts w:hint="default" w:ascii="Times New Roman" w:hAnsi="Times New Roman" w:eastAsia="宋体" w:cs="Times New Roman"/>
                <w:color w:val="000000"/>
                <w:kern w:val="0"/>
                <w:sz w:val="22"/>
                <w:lang w:bidi="ar"/>
              </w:rPr>
              <w:t>港桥产业</w:t>
            </w:r>
            <w:r>
              <w:rPr>
                <w:rFonts w:hint="default" w:ascii="Times New Roman" w:hAnsi="Times New Roman" w:eastAsia="宋体" w:cs="Times New Roman"/>
                <w:color w:val="000000"/>
                <w:kern w:val="0"/>
                <w:sz w:val="22"/>
                <w:lang w:eastAsia="zh-CN" w:bidi="ar"/>
              </w:rPr>
              <w:t>促进中心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100</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138</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157</w:t>
            </w:r>
          </w:p>
        </w:tc>
      </w:tr>
      <w:tr>
        <w:tblPrEx>
          <w:tblCellMar>
            <w:top w:w="0" w:type="dxa"/>
            <w:left w:w="0" w:type="dxa"/>
            <w:bottom w:w="0" w:type="dxa"/>
            <w:right w:w="0"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大数据产业园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eastAsia" w:ascii="Times New Roman" w:hAnsi="Times New Roman" w:eastAsia="宋体" w:cs="Times New Roman"/>
                <w:color w:val="000000"/>
                <w:kern w:val="0"/>
                <w:sz w:val="22"/>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val="en-US" w:eastAsia="zh-CN" w:bidi="ar"/>
              </w:rPr>
              <w:t>96</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3</w:t>
            </w:r>
            <w:r>
              <w:rPr>
                <w:rFonts w:hint="eastAsia" w:ascii="Times New Roman" w:hAnsi="Times New Roman" w:eastAsia="宋体" w:cs="Times New Roman"/>
                <w:color w:val="000000"/>
                <w:kern w:val="0"/>
                <w:sz w:val="22"/>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eastAsia" w:ascii="Times New Roman" w:hAnsi="Times New Roman" w:eastAsia="宋体" w:cs="Times New Roman"/>
                <w:color w:val="000000"/>
                <w:kern w:val="0"/>
                <w:sz w:val="22"/>
                <w:lang w:val="en-US" w:eastAsia="zh-CN" w:bidi="ar"/>
              </w:rPr>
              <w:t>408</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464</w:t>
            </w:r>
          </w:p>
        </w:tc>
      </w:tr>
      <w:tr>
        <w:tblPrEx>
          <w:tblCellMar>
            <w:top w:w="0" w:type="dxa"/>
            <w:left w:w="0" w:type="dxa"/>
            <w:bottom w:w="0" w:type="dxa"/>
            <w:right w:w="0" w:type="dxa"/>
          </w:tblCellMar>
        </w:tblPrEx>
        <w:trPr>
          <w:trHeight w:val="28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1</w:t>
            </w:r>
            <w:r>
              <w:rPr>
                <w:rFonts w:hint="eastAsia" w:ascii="Times New Roman" w:hAnsi="Times New Roman" w:eastAsia="宋体" w:cs="Times New Roman"/>
                <w:color w:val="000000"/>
                <w:kern w:val="0"/>
                <w:sz w:val="22"/>
                <w:lang w:val="en-US" w:eastAsia="zh-CN" w:bidi="ar"/>
              </w:rPr>
              <w:t>920</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2</w:t>
            </w:r>
            <w:r>
              <w:rPr>
                <w:rFonts w:hint="eastAsia" w:ascii="Times New Roman" w:hAnsi="Times New Roman" w:eastAsia="宋体" w:cs="Times New Roman"/>
                <w:color w:val="000000"/>
                <w:kern w:val="0"/>
                <w:sz w:val="22"/>
                <w:lang w:val="en-US" w:eastAsia="zh-CN" w:bidi="ar"/>
              </w:rPr>
              <w:t>640</w:t>
            </w:r>
            <w:r>
              <w:rPr>
                <w:rFonts w:hint="default" w:ascii="Times New Roman" w:hAnsi="Times New Roman" w:eastAsia="宋体" w:cs="Times New Roman"/>
                <w:color w:val="000000"/>
                <w:kern w:val="0"/>
                <w:sz w:val="22"/>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sz w:val="22"/>
              </w:rPr>
            </w:pPr>
            <w:r>
              <w:rPr>
                <w:rFonts w:hint="default" w:ascii="Times New Roman" w:hAnsi="Times New Roman" w:eastAsia="宋体" w:cs="Times New Roman"/>
                <w:color w:val="000000"/>
                <w:kern w:val="0"/>
                <w:sz w:val="22"/>
                <w:lang w:bidi="ar"/>
              </w:rPr>
              <w:t>3000</w:t>
            </w:r>
          </w:p>
        </w:tc>
      </w:tr>
      <w:tr>
        <w:tblPrEx>
          <w:tblCellMar>
            <w:top w:w="0" w:type="dxa"/>
            <w:left w:w="0" w:type="dxa"/>
            <w:bottom w:w="0" w:type="dxa"/>
            <w:right w:w="0" w:type="dxa"/>
          </w:tblCellMar>
        </w:tblPrEx>
        <w:trPr>
          <w:trHeight w:val="288"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kern w:val="0"/>
                <w:sz w:val="22"/>
                <w:lang w:bidi="ar"/>
              </w:rPr>
            </w:pP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kern w:val="0"/>
                <w:sz w:val="22"/>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val="0"/>
              <w:snapToGrid w:val="0"/>
              <w:jc w:val="center"/>
              <w:textAlignment w:val="center"/>
              <w:rPr>
                <w:rFonts w:hint="default" w:ascii="Times New Roman" w:hAnsi="Times New Roman" w:eastAsia="宋体" w:cs="Times New Roman"/>
                <w:color w:val="000000"/>
                <w:kern w:val="0"/>
                <w:sz w:val="22"/>
                <w:lang w:bidi="ar"/>
              </w:rPr>
            </w:pPr>
          </w:p>
        </w:tc>
      </w:tr>
    </w:tbl>
    <w:p>
      <w:pPr>
        <w:pStyle w:val="14"/>
        <w:ind w:left="0" w:leftChars="0" w:firstLine="0" w:firstLineChars="0"/>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2"/>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2"/>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431792"/>
    <w:rsid w:val="00001584"/>
    <w:rsid w:val="00001A63"/>
    <w:rsid w:val="000041B4"/>
    <w:rsid w:val="00007813"/>
    <w:rsid w:val="00013E38"/>
    <w:rsid w:val="000145ED"/>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6373"/>
    <w:rsid w:val="000B72F8"/>
    <w:rsid w:val="000C0533"/>
    <w:rsid w:val="000D1BB7"/>
    <w:rsid w:val="000D49BB"/>
    <w:rsid w:val="000E076D"/>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4241"/>
    <w:rsid w:val="00176418"/>
    <w:rsid w:val="00177DB9"/>
    <w:rsid w:val="00187522"/>
    <w:rsid w:val="00191BEF"/>
    <w:rsid w:val="001936E3"/>
    <w:rsid w:val="00194CD1"/>
    <w:rsid w:val="00196410"/>
    <w:rsid w:val="001A441B"/>
    <w:rsid w:val="001A51E6"/>
    <w:rsid w:val="001A58DE"/>
    <w:rsid w:val="001A62A3"/>
    <w:rsid w:val="001B0690"/>
    <w:rsid w:val="001B247A"/>
    <w:rsid w:val="001B5CC4"/>
    <w:rsid w:val="001B668E"/>
    <w:rsid w:val="001B7DB7"/>
    <w:rsid w:val="001D1ECF"/>
    <w:rsid w:val="001D52C8"/>
    <w:rsid w:val="001E6406"/>
    <w:rsid w:val="001E7CBF"/>
    <w:rsid w:val="001F1467"/>
    <w:rsid w:val="001F1495"/>
    <w:rsid w:val="001F2D86"/>
    <w:rsid w:val="001F3D77"/>
    <w:rsid w:val="001F49B3"/>
    <w:rsid w:val="00203189"/>
    <w:rsid w:val="00205A79"/>
    <w:rsid w:val="002076C8"/>
    <w:rsid w:val="0021118C"/>
    <w:rsid w:val="00212296"/>
    <w:rsid w:val="002177AC"/>
    <w:rsid w:val="00220C1F"/>
    <w:rsid w:val="00222D93"/>
    <w:rsid w:val="0023566E"/>
    <w:rsid w:val="00242291"/>
    <w:rsid w:val="00251663"/>
    <w:rsid w:val="002540EB"/>
    <w:rsid w:val="00260965"/>
    <w:rsid w:val="00261484"/>
    <w:rsid w:val="00261FF2"/>
    <w:rsid w:val="00266A30"/>
    <w:rsid w:val="002836CB"/>
    <w:rsid w:val="002857E7"/>
    <w:rsid w:val="0029027F"/>
    <w:rsid w:val="0029233A"/>
    <w:rsid w:val="00292A97"/>
    <w:rsid w:val="002953BD"/>
    <w:rsid w:val="00297A48"/>
    <w:rsid w:val="002A22F1"/>
    <w:rsid w:val="002A554B"/>
    <w:rsid w:val="002B0347"/>
    <w:rsid w:val="002B2B41"/>
    <w:rsid w:val="002B7725"/>
    <w:rsid w:val="002C2E99"/>
    <w:rsid w:val="002C3B2F"/>
    <w:rsid w:val="002C44F8"/>
    <w:rsid w:val="002C519F"/>
    <w:rsid w:val="002C5ADA"/>
    <w:rsid w:val="002D04EB"/>
    <w:rsid w:val="002D164B"/>
    <w:rsid w:val="002D235F"/>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3192"/>
    <w:rsid w:val="00365A47"/>
    <w:rsid w:val="003668AF"/>
    <w:rsid w:val="003679B0"/>
    <w:rsid w:val="00370CF2"/>
    <w:rsid w:val="0037396A"/>
    <w:rsid w:val="003769A4"/>
    <w:rsid w:val="00384F19"/>
    <w:rsid w:val="0039406C"/>
    <w:rsid w:val="00396FA3"/>
    <w:rsid w:val="003A0B83"/>
    <w:rsid w:val="003A679A"/>
    <w:rsid w:val="003A6984"/>
    <w:rsid w:val="003B45A4"/>
    <w:rsid w:val="003C2C2B"/>
    <w:rsid w:val="003D08DD"/>
    <w:rsid w:val="003D144C"/>
    <w:rsid w:val="003D25E6"/>
    <w:rsid w:val="003D3862"/>
    <w:rsid w:val="003D6843"/>
    <w:rsid w:val="003E735D"/>
    <w:rsid w:val="003F4443"/>
    <w:rsid w:val="003F6120"/>
    <w:rsid w:val="0040432A"/>
    <w:rsid w:val="00404F5C"/>
    <w:rsid w:val="00406663"/>
    <w:rsid w:val="00421136"/>
    <w:rsid w:val="0042253A"/>
    <w:rsid w:val="004247F5"/>
    <w:rsid w:val="00431792"/>
    <w:rsid w:val="00433573"/>
    <w:rsid w:val="0044014E"/>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594B"/>
    <w:rsid w:val="006415EE"/>
    <w:rsid w:val="00642B9F"/>
    <w:rsid w:val="00644597"/>
    <w:rsid w:val="00651043"/>
    <w:rsid w:val="00656394"/>
    <w:rsid w:val="00657A76"/>
    <w:rsid w:val="006642C9"/>
    <w:rsid w:val="0066611F"/>
    <w:rsid w:val="006708AE"/>
    <w:rsid w:val="006735B8"/>
    <w:rsid w:val="00676446"/>
    <w:rsid w:val="00684F0F"/>
    <w:rsid w:val="00690008"/>
    <w:rsid w:val="006912D6"/>
    <w:rsid w:val="00692174"/>
    <w:rsid w:val="00696BD4"/>
    <w:rsid w:val="006A082E"/>
    <w:rsid w:val="006A0ED6"/>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4F1B"/>
    <w:rsid w:val="00725322"/>
    <w:rsid w:val="00730DC6"/>
    <w:rsid w:val="0073153C"/>
    <w:rsid w:val="00734747"/>
    <w:rsid w:val="00740595"/>
    <w:rsid w:val="00742CAB"/>
    <w:rsid w:val="007441FD"/>
    <w:rsid w:val="00745A4D"/>
    <w:rsid w:val="00745E59"/>
    <w:rsid w:val="00747581"/>
    <w:rsid w:val="00751AF2"/>
    <w:rsid w:val="007522EC"/>
    <w:rsid w:val="00763B87"/>
    <w:rsid w:val="0076412C"/>
    <w:rsid w:val="0076450E"/>
    <w:rsid w:val="00765710"/>
    <w:rsid w:val="00766F06"/>
    <w:rsid w:val="0076760B"/>
    <w:rsid w:val="00774B66"/>
    <w:rsid w:val="00777FD1"/>
    <w:rsid w:val="00780988"/>
    <w:rsid w:val="00783AA0"/>
    <w:rsid w:val="00783D56"/>
    <w:rsid w:val="00784F7F"/>
    <w:rsid w:val="007855E3"/>
    <w:rsid w:val="0079184F"/>
    <w:rsid w:val="00792B5F"/>
    <w:rsid w:val="00795B90"/>
    <w:rsid w:val="007A3CAA"/>
    <w:rsid w:val="007B0B57"/>
    <w:rsid w:val="007B1DA9"/>
    <w:rsid w:val="007B38A7"/>
    <w:rsid w:val="007B65C6"/>
    <w:rsid w:val="007B7035"/>
    <w:rsid w:val="007C675B"/>
    <w:rsid w:val="007D0983"/>
    <w:rsid w:val="007D0AAD"/>
    <w:rsid w:val="007D1DAF"/>
    <w:rsid w:val="007D5013"/>
    <w:rsid w:val="007D68F2"/>
    <w:rsid w:val="007D7FFD"/>
    <w:rsid w:val="007E0A66"/>
    <w:rsid w:val="007E18A3"/>
    <w:rsid w:val="007E1B75"/>
    <w:rsid w:val="007E27A3"/>
    <w:rsid w:val="007E2F19"/>
    <w:rsid w:val="007E3BB5"/>
    <w:rsid w:val="007E4D25"/>
    <w:rsid w:val="007F12B4"/>
    <w:rsid w:val="007F72A0"/>
    <w:rsid w:val="00801820"/>
    <w:rsid w:val="008066A5"/>
    <w:rsid w:val="00807965"/>
    <w:rsid w:val="00811422"/>
    <w:rsid w:val="008114B1"/>
    <w:rsid w:val="0081249E"/>
    <w:rsid w:val="0081598E"/>
    <w:rsid w:val="00817E6B"/>
    <w:rsid w:val="00820449"/>
    <w:rsid w:val="008241BA"/>
    <w:rsid w:val="00830077"/>
    <w:rsid w:val="00830EC8"/>
    <w:rsid w:val="00831E07"/>
    <w:rsid w:val="008327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A18B2"/>
    <w:rsid w:val="00AA27F2"/>
    <w:rsid w:val="00AB5C57"/>
    <w:rsid w:val="00AC0BFF"/>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64D9"/>
    <w:rsid w:val="00B87D8B"/>
    <w:rsid w:val="00B96D40"/>
    <w:rsid w:val="00BA2286"/>
    <w:rsid w:val="00BA380D"/>
    <w:rsid w:val="00BA3C64"/>
    <w:rsid w:val="00BA4125"/>
    <w:rsid w:val="00BA51B9"/>
    <w:rsid w:val="00BB017A"/>
    <w:rsid w:val="00BB0AF1"/>
    <w:rsid w:val="00BB3842"/>
    <w:rsid w:val="00BD308B"/>
    <w:rsid w:val="00BD3188"/>
    <w:rsid w:val="00BD46B9"/>
    <w:rsid w:val="00BD4900"/>
    <w:rsid w:val="00BD72F0"/>
    <w:rsid w:val="00BE2784"/>
    <w:rsid w:val="00BE2868"/>
    <w:rsid w:val="00BE3531"/>
    <w:rsid w:val="00BE4ED9"/>
    <w:rsid w:val="00BE5BC2"/>
    <w:rsid w:val="00BE7603"/>
    <w:rsid w:val="00BF46B7"/>
    <w:rsid w:val="00BF6772"/>
    <w:rsid w:val="00BF6D0D"/>
    <w:rsid w:val="00C01111"/>
    <w:rsid w:val="00C06100"/>
    <w:rsid w:val="00C10507"/>
    <w:rsid w:val="00C13C29"/>
    <w:rsid w:val="00C2008D"/>
    <w:rsid w:val="00C20D65"/>
    <w:rsid w:val="00C20F87"/>
    <w:rsid w:val="00C2280B"/>
    <w:rsid w:val="00C27C58"/>
    <w:rsid w:val="00C30409"/>
    <w:rsid w:val="00C36AC9"/>
    <w:rsid w:val="00C36F74"/>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B21F9"/>
    <w:rsid w:val="00CC11CD"/>
    <w:rsid w:val="00CD01AA"/>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7CD"/>
    <w:rsid w:val="00D90A41"/>
    <w:rsid w:val="00D94988"/>
    <w:rsid w:val="00D958A9"/>
    <w:rsid w:val="00D96C5A"/>
    <w:rsid w:val="00DB1A84"/>
    <w:rsid w:val="00DB3D41"/>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21216"/>
    <w:rsid w:val="00E22426"/>
    <w:rsid w:val="00E2305F"/>
    <w:rsid w:val="00E33881"/>
    <w:rsid w:val="00E34403"/>
    <w:rsid w:val="00E44605"/>
    <w:rsid w:val="00E45338"/>
    <w:rsid w:val="00E50633"/>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2AAE"/>
    <w:rsid w:val="00FF5166"/>
    <w:rsid w:val="00FF71C3"/>
    <w:rsid w:val="019E71BD"/>
    <w:rsid w:val="01D56529"/>
    <w:rsid w:val="041C42DA"/>
    <w:rsid w:val="042B154C"/>
    <w:rsid w:val="04342A95"/>
    <w:rsid w:val="04B679C3"/>
    <w:rsid w:val="05F07036"/>
    <w:rsid w:val="064E7294"/>
    <w:rsid w:val="06E00104"/>
    <w:rsid w:val="072C317B"/>
    <w:rsid w:val="07E3343A"/>
    <w:rsid w:val="080F63D8"/>
    <w:rsid w:val="09341458"/>
    <w:rsid w:val="098254C2"/>
    <w:rsid w:val="0A766EDE"/>
    <w:rsid w:val="0ACE3106"/>
    <w:rsid w:val="0AD64BE8"/>
    <w:rsid w:val="0B0912D7"/>
    <w:rsid w:val="0C425FB0"/>
    <w:rsid w:val="0CE12330"/>
    <w:rsid w:val="0D840824"/>
    <w:rsid w:val="0E025194"/>
    <w:rsid w:val="0EF85BFC"/>
    <w:rsid w:val="0F303700"/>
    <w:rsid w:val="0FE80209"/>
    <w:rsid w:val="10453FF3"/>
    <w:rsid w:val="110919E7"/>
    <w:rsid w:val="12AB7115"/>
    <w:rsid w:val="131A3C63"/>
    <w:rsid w:val="152D2DCA"/>
    <w:rsid w:val="15D5325E"/>
    <w:rsid w:val="16AB7951"/>
    <w:rsid w:val="187168EA"/>
    <w:rsid w:val="194E0959"/>
    <w:rsid w:val="196673CA"/>
    <w:rsid w:val="19EB4951"/>
    <w:rsid w:val="19FE42A9"/>
    <w:rsid w:val="19FFB122"/>
    <w:rsid w:val="1AAE7CE7"/>
    <w:rsid w:val="1B2F4AEE"/>
    <w:rsid w:val="1B836E76"/>
    <w:rsid w:val="1C3B5737"/>
    <w:rsid w:val="1CF734C9"/>
    <w:rsid w:val="1CFF6734"/>
    <w:rsid w:val="1D5561CE"/>
    <w:rsid w:val="1DEC284C"/>
    <w:rsid w:val="1E4142AB"/>
    <w:rsid w:val="1E6523AC"/>
    <w:rsid w:val="1F5C25ED"/>
    <w:rsid w:val="201151CC"/>
    <w:rsid w:val="20363BA4"/>
    <w:rsid w:val="20A7561E"/>
    <w:rsid w:val="2121649C"/>
    <w:rsid w:val="21C610AE"/>
    <w:rsid w:val="22440422"/>
    <w:rsid w:val="22BB4BBB"/>
    <w:rsid w:val="25641055"/>
    <w:rsid w:val="25AE2425"/>
    <w:rsid w:val="25DE7970"/>
    <w:rsid w:val="278B6680"/>
    <w:rsid w:val="27FB95D0"/>
    <w:rsid w:val="29963748"/>
    <w:rsid w:val="2AE31B35"/>
    <w:rsid w:val="2AEB3417"/>
    <w:rsid w:val="2B14020C"/>
    <w:rsid w:val="2B7166FA"/>
    <w:rsid w:val="2C2321DB"/>
    <w:rsid w:val="2D22579D"/>
    <w:rsid w:val="2D502E74"/>
    <w:rsid w:val="2ECF4A71"/>
    <w:rsid w:val="2EDDEC25"/>
    <w:rsid w:val="2FDE121D"/>
    <w:rsid w:val="2FF45EEC"/>
    <w:rsid w:val="312839F4"/>
    <w:rsid w:val="31A15F24"/>
    <w:rsid w:val="31C61931"/>
    <w:rsid w:val="324A1681"/>
    <w:rsid w:val="32BA26CA"/>
    <w:rsid w:val="32BB067D"/>
    <w:rsid w:val="33EC257F"/>
    <w:rsid w:val="33FF532B"/>
    <w:rsid w:val="345B44E6"/>
    <w:rsid w:val="347C30BD"/>
    <w:rsid w:val="35A10974"/>
    <w:rsid w:val="36FB1DF0"/>
    <w:rsid w:val="37932663"/>
    <w:rsid w:val="380A152F"/>
    <w:rsid w:val="395347B5"/>
    <w:rsid w:val="39A232A0"/>
    <w:rsid w:val="39E745AA"/>
    <w:rsid w:val="3A7B6FB7"/>
    <w:rsid w:val="3B5A6BBB"/>
    <w:rsid w:val="3B743A02"/>
    <w:rsid w:val="3BD77B30"/>
    <w:rsid w:val="3BE9B79E"/>
    <w:rsid w:val="3DA6629B"/>
    <w:rsid w:val="3E2E249C"/>
    <w:rsid w:val="3EC21420"/>
    <w:rsid w:val="3EDA13A6"/>
    <w:rsid w:val="3EFF1B40"/>
    <w:rsid w:val="3F5D8A14"/>
    <w:rsid w:val="3FB02005"/>
    <w:rsid w:val="3FF7B51C"/>
    <w:rsid w:val="3FFE20A9"/>
    <w:rsid w:val="3FFF684E"/>
    <w:rsid w:val="40FC5239"/>
    <w:rsid w:val="412F111A"/>
    <w:rsid w:val="417B75E9"/>
    <w:rsid w:val="41F74D20"/>
    <w:rsid w:val="426A56CF"/>
    <w:rsid w:val="42731488"/>
    <w:rsid w:val="42B5647C"/>
    <w:rsid w:val="42F058B7"/>
    <w:rsid w:val="42F334A6"/>
    <w:rsid w:val="434C7328"/>
    <w:rsid w:val="436109F6"/>
    <w:rsid w:val="441A38D4"/>
    <w:rsid w:val="4504239D"/>
    <w:rsid w:val="450B05EB"/>
    <w:rsid w:val="47D35FFC"/>
    <w:rsid w:val="47FE5FD0"/>
    <w:rsid w:val="484C61E3"/>
    <w:rsid w:val="488625FA"/>
    <w:rsid w:val="4A0C644A"/>
    <w:rsid w:val="4A7039CC"/>
    <w:rsid w:val="4BC77339"/>
    <w:rsid w:val="4C9236C5"/>
    <w:rsid w:val="4E250A85"/>
    <w:rsid w:val="4E5D0FFF"/>
    <w:rsid w:val="4F7630EC"/>
    <w:rsid w:val="4FFD4925"/>
    <w:rsid w:val="505C172E"/>
    <w:rsid w:val="506405EA"/>
    <w:rsid w:val="50827473"/>
    <w:rsid w:val="50CE484F"/>
    <w:rsid w:val="522C22C2"/>
    <w:rsid w:val="52443849"/>
    <w:rsid w:val="52511493"/>
    <w:rsid w:val="52BFFBBC"/>
    <w:rsid w:val="52F46F0B"/>
    <w:rsid w:val="532B6A10"/>
    <w:rsid w:val="535B2656"/>
    <w:rsid w:val="53D8014D"/>
    <w:rsid w:val="55003B4B"/>
    <w:rsid w:val="5535353D"/>
    <w:rsid w:val="55DD3058"/>
    <w:rsid w:val="55E064E0"/>
    <w:rsid w:val="55EA6CDE"/>
    <w:rsid w:val="572C6D10"/>
    <w:rsid w:val="58093D53"/>
    <w:rsid w:val="58FB64FD"/>
    <w:rsid w:val="593250E8"/>
    <w:rsid w:val="59512012"/>
    <w:rsid w:val="595F0EF6"/>
    <w:rsid w:val="598FEEE9"/>
    <w:rsid w:val="5AF7A3BA"/>
    <w:rsid w:val="5AF96A68"/>
    <w:rsid w:val="5B655CEC"/>
    <w:rsid w:val="5BF4D68F"/>
    <w:rsid w:val="5C64173C"/>
    <w:rsid w:val="5C974816"/>
    <w:rsid w:val="5CFE6861"/>
    <w:rsid w:val="5DC34279"/>
    <w:rsid w:val="5F227813"/>
    <w:rsid w:val="5F4B1803"/>
    <w:rsid w:val="5FC73B37"/>
    <w:rsid w:val="5FCD688E"/>
    <w:rsid w:val="5FF9BDAA"/>
    <w:rsid w:val="5FFE5333"/>
    <w:rsid w:val="603161C9"/>
    <w:rsid w:val="608816D1"/>
    <w:rsid w:val="60EF4E7F"/>
    <w:rsid w:val="613DE9EF"/>
    <w:rsid w:val="61622CC9"/>
    <w:rsid w:val="61EA1448"/>
    <w:rsid w:val="61EE6BD3"/>
    <w:rsid w:val="62625182"/>
    <w:rsid w:val="637A1586"/>
    <w:rsid w:val="6488196E"/>
    <w:rsid w:val="648B0A32"/>
    <w:rsid w:val="64923598"/>
    <w:rsid w:val="651FE8E7"/>
    <w:rsid w:val="665233C1"/>
    <w:rsid w:val="677DC48A"/>
    <w:rsid w:val="677E6FB6"/>
    <w:rsid w:val="677FD9B7"/>
    <w:rsid w:val="684D1029"/>
    <w:rsid w:val="687F7E1F"/>
    <w:rsid w:val="68D6226F"/>
    <w:rsid w:val="69AC0D42"/>
    <w:rsid w:val="6AC73CF3"/>
    <w:rsid w:val="6AD9688B"/>
    <w:rsid w:val="6BC22825"/>
    <w:rsid w:val="6D0E3F22"/>
    <w:rsid w:val="6E024FFD"/>
    <w:rsid w:val="6F140BD1"/>
    <w:rsid w:val="6F805C0B"/>
    <w:rsid w:val="6FC52255"/>
    <w:rsid w:val="6FFB0805"/>
    <w:rsid w:val="709F1183"/>
    <w:rsid w:val="74123648"/>
    <w:rsid w:val="744E4660"/>
    <w:rsid w:val="751500D6"/>
    <w:rsid w:val="751F2C0F"/>
    <w:rsid w:val="753355A2"/>
    <w:rsid w:val="753901FE"/>
    <w:rsid w:val="759F1C61"/>
    <w:rsid w:val="760C0512"/>
    <w:rsid w:val="769F2DE8"/>
    <w:rsid w:val="76FDEB7C"/>
    <w:rsid w:val="77287E3C"/>
    <w:rsid w:val="77DB450F"/>
    <w:rsid w:val="77F76F0B"/>
    <w:rsid w:val="78AE27FE"/>
    <w:rsid w:val="78BB0A3E"/>
    <w:rsid w:val="792F7C7B"/>
    <w:rsid w:val="79C65162"/>
    <w:rsid w:val="79FF0CC3"/>
    <w:rsid w:val="7AE2762A"/>
    <w:rsid w:val="7AED56A1"/>
    <w:rsid w:val="7B2D511F"/>
    <w:rsid w:val="7B5DC18C"/>
    <w:rsid w:val="7B79F131"/>
    <w:rsid w:val="7BFD58CD"/>
    <w:rsid w:val="7C41577F"/>
    <w:rsid w:val="7C9011D9"/>
    <w:rsid w:val="7CBE208C"/>
    <w:rsid w:val="7D344903"/>
    <w:rsid w:val="7D630242"/>
    <w:rsid w:val="7D6788B6"/>
    <w:rsid w:val="7D77A8EA"/>
    <w:rsid w:val="7DA74D8C"/>
    <w:rsid w:val="7DB5250C"/>
    <w:rsid w:val="7DC651C5"/>
    <w:rsid w:val="7DF350ED"/>
    <w:rsid w:val="7EDC0546"/>
    <w:rsid w:val="7EED7CF6"/>
    <w:rsid w:val="7F2F763E"/>
    <w:rsid w:val="7F7BF6BC"/>
    <w:rsid w:val="7F7DD2E0"/>
    <w:rsid w:val="7F9DA0E8"/>
    <w:rsid w:val="7FAF2452"/>
    <w:rsid w:val="7FAF5321"/>
    <w:rsid w:val="7FAFCFFE"/>
    <w:rsid w:val="7FCC2834"/>
    <w:rsid w:val="7FD7D146"/>
    <w:rsid w:val="7FE4CD75"/>
    <w:rsid w:val="7FF6A4EF"/>
    <w:rsid w:val="7FFF7947"/>
    <w:rsid w:val="7FFFB94F"/>
    <w:rsid w:val="8AFD725E"/>
    <w:rsid w:val="92DD1CEF"/>
    <w:rsid w:val="9DFF2663"/>
    <w:rsid w:val="9FDBE74C"/>
    <w:rsid w:val="A5BF5278"/>
    <w:rsid w:val="AB3F18E9"/>
    <w:rsid w:val="B2FBF026"/>
    <w:rsid w:val="B7F7437C"/>
    <w:rsid w:val="B7FABE69"/>
    <w:rsid w:val="B9EE426E"/>
    <w:rsid w:val="BBDB3FA3"/>
    <w:rsid w:val="BF2CB0B9"/>
    <w:rsid w:val="BFBCEBC0"/>
    <w:rsid w:val="BFFB8ACF"/>
    <w:rsid w:val="CBD238BE"/>
    <w:rsid w:val="D4FFBF52"/>
    <w:rsid w:val="DDE19F64"/>
    <w:rsid w:val="DFB3EAC0"/>
    <w:rsid w:val="DFDFC069"/>
    <w:rsid w:val="E3B7F1CF"/>
    <w:rsid w:val="EAF9F3D3"/>
    <w:rsid w:val="EDF7E1E2"/>
    <w:rsid w:val="EFF6A537"/>
    <w:rsid w:val="F05B4F69"/>
    <w:rsid w:val="F3CD727F"/>
    <w:rsid w:val="F5D30604"/>
    <w:rsid w:val="F95F38C7"/>
    <w:rsid w:val="F97D9566"/>
    <w:rsid w:val="FAB50B99"/>
    <w:rsid w:val="FAFA023F"/>
    <w:rsid w:val="FDFF411C"/>
    <w:rsid w:val="FE3F5CA4"/>
    <w:rsid w:val="FE7E3A85"/>
    <w:rsid w:val="FEBF2E30"/>
    <w:rsid w:val="FEFF5C6E"/>
    <w:rsid w:val="FF7E3A88"/>
    <w:rsid w:val="FFB3FEB7"/>
    <w:rsid w:val="FFB716FB"/>
    <w:rsid w:val="FFBDB832"/>
    <w:rsid w:val="FFDC4A34"/>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7">
    <w:name w:val="Default Paragraph Font"/>
    <w:link w:val="18"/>
    <w:semiHidden/>
    <w:qFormat/>
    <w:uiPriority w:val="0"/>
    <w:rPr>
      <w:rFonts w:ascii="Calibri" w:hAnsi="Calibri"/>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table of authorities"/>
    <w:basedOn w:val="1"/>
    <w:next w:val="1"/>
    <w:qFormat/>
    <w:uiPriority w:val="0"/>
    <w:pPr>
      <w:adjustRightInd/>
      <w:spacing w:line="240" w:lineRule="auto"/>
      <w:ind w:left="420" w:leftChars="200"/>
      <w:textAlignment w:val="auto"/>
    </w:pPr>
    <w:rPr>
      <w:rFonts w:eastAsia="宋体" w:asciiTheme="minorHAnsi" w:hAnsiTheme="minorHAnsi" w:cstheme="minorBidi"/>
      <w:kern w:val="2"/>
      <w:sz w:val="21"/>
      <w:szCs w:val="22"/>
    </w:rPr>
  </w:style>
  <w:style w:type="paragraph" w:styleId="6">
    <w:name w:val="Normal Indent"/>
    <w:basedOn w:val="1"/>
    <w:next w:val="1"/>
    <w:qFormat/>
    <w:uiPriority w:val="0"/>
    <w:pPr>
      <w:adjustRightInd/>
      <w:spacing w:line="240" w:lineRule="auto"/>
      <w:ind w:firstLine="420" w:firstLineChars="200"/>
      <w:textAlignment w:val="auto"/>
    </w:pPr>
    <w:rPr>
      <w:rFonts w:asciiTheme="minorHAnsi" w:hAnsiTheme="minorHAnsi" w:eastAsiaTheme="minorEastAsia" w:cstheme="minorBidi"/>
      <w:kern w:val="2"/>
      <w:sz w:val="21"/>
      <w:szCs w:val="22"/>
    </w:rPr>
  </w:style>
  <w:style w:type="paragraph" w:styleId="7">
    <w:name w:val="annotation text"/>
    <w:basedOn w:val="1"/>
    <w:link w:val="25"/>
    <w:uiPriority w:val="0"/>
    <w:pPr>
      <w:jc w:val="left"/>
    </w:pPr>
  </w:style>
  <w:style w:type="paragraph" w:styleId="8">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9">
    <w:name w:val="Date"/>
    <w:basedOn w:val="1"/>
    <w:next w:val="1"/>
    <w:link w:val="26"/>
    <w:uiPriority w:val="0"/>
    <w:pPr>
      <w:adjustRightInd/>
      <w:spacing w:line="240" w:lineRule="auto"/>
      <w:ind w:left="100" w:leftChars="2500"/>
      <w:textAlignment w:val="auto"/>
    </w:pPr>
    <w:rPr>
      <w:rFonts w:eastAsia="宋体"/>
      <w:kern w:val="2"/>
      <w:sz w:val="21"/>
      <w:szCs w:val="21"/>
    </w:rPr>
  </w:style>
  <w:style w:type="paragraph" w:styleId="10">
    <w:name w:val="Balloon Text"/>
    <w:basedOn w:val="1"/>
    <w:link w:val="27"/>
    <w:semiHidden/>
    <w:qFormat/>
    <w:uiPriority w:val="0"/>
    <w:pPr>
      <w:adjustRightInd/>
      <w:spacing w:line="240" w:lineRule="auto"/>
      <w:textAlignment w:val="auto"/>
    </w:pPr>
    <w:rPr>
      <w:rFonts w:eastAsia="宋体"/>
      <w:kern w:val="2"/>
      <w:sz w:val="18"/>
      <w:szCs w:val="18"/>
    </w:rPr>
  </w:style>
  <w:style w:type="paragraph" w:styleId="11">
    <w:name w:val="footer"/>
    <w:basedOn w:val="1"/>
    <w:link w:val="28"/>
    <w:qFormat/>
    <w:uiPriority w:val="0"/>
    <w:pPr>
      <w:tabs>
        <w:tab w:val="center" w:pos="4153"/>
        <w:tab w:val="right" w:pos="8306"/>
      </w:tabs>
      <w:snapToGrid w:val="0"/>
      <w:jc w:val="left"/>
    </w:pPr>
    <w:rPr>
      <w:sz w:val="18"/>
    </w:rPr>
  </w:style>
  <w:style w:type="paragraph" w:styleId="12">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3">
    <w:name w:val="Normal (Web)"/>
    <w:basedOn w:val="1"/>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2"/>
    <w:next w:val="15"/>
    <w:uiPriority w:val="0"/>
    <w:pPr>
      <w:spacing w:after="160"/>
      <w:ind w:firstLine="420" w:firstLineChars="100"/>
    </w:pPr>
  </w:style>
  <w:style w:type="paragraph" w:styleId="15">
    <w:name w:val="Body Text First Indent 2"/>
    <w:next w:val="14"/>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8">
    <w:name w:val="默认段落字体 Para Char Char Char Char Char Char Char Char Char Char Char Char"/>
    <w:basedOn w:val="1"/>
    <w:link w:val="17"/>
    <w:qFormat/>
    <w:uiPriority w:val="0"/>
    <w:pPr>
      <w:tabs>
        <w:tab w:val="right" w:pos="-2120"/>
      </w:tabs>
      <w:snapToGrid w:val="0"/>
    </w:pPr>
    <w:rPr>
      <w:rFonts w:ascii="Calibri" w:hAnsi="Calibri"/>
      <w:szCs w:val="24"/>
    </w:rPr>
  </w:style>
  <w:style w:type="character" w:styleId="19">
    <w:name w:val="Strong"/>
    <w:basedOn w:val="17"/>
    <w:qFormat/>
    <w:uiPriority w:val="0"/>
    <w:rPr>
      <w:b/>
      <w:bCs/>
    </w:rPr>
  </w:style>
  <w:style w:type="character" w:styleId="20">
    <w:name w:val="page number"/>
    <w:basedOn w:val="17"/>
    <w:qFormat/>
    <w:uiPriority w:val="0"/>
  </w:style>
  <w:style w:type="character" w:styleId="21">
    <w:name w:val="Emphasis"/>
    <w:basedOn w:val="17"/>
    <w:qFormat/>
    <w:uiPriority w:val="0"/>
    <w:rPr>
      <w:rFonts w:asciiTheme="minorHAnsi" w:hAnsiTheme="minorHAnsi" w:eastAsiaTheme="minorEastAsia" w:cstheme="minorBidi"/>
      <w:i/>
      <w:iCs/>
      <w:szCs w:val="20"/>
    </w:rPr>
  </w:style>
  <w:style w:type="character" w:styleId="22">
    <w:name w:val="annotation reference"/>
    <w:uiPriority w:val="0"/>
    <w:rPr>
      <w:rFonts w:ascii="Times New Roman" w:hAnsi="Times New Roman" w:eastAsia="宋体" w:cs="Times New Roman"/>
      <w:sz w:val="21"/>
      <w:szCs w:val="21"/>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批注文字 字符"/>
    <w:link w:val="7"/>
    <w:semiHidden/>
    <w:qFormat/>
    <w:uiPriority w:val="99"/>
    <w:rPr>
      <w:rFonts w:ascii="Times New Roman" w:hAnsi="Times New Roman" w:eastAsia="宋体" w:cs="Times New Roman"/>
    </w:rPr>
  </w:style>
  <w:style w:type="character" w:customStyle="1" w:styleId="26">
    <w:name w:val="日期 字符"/>
    <w:link w:val="9"/>
    <w:semiHidden/>
    <w:qFormat/>
    <w:uiPriority w:val="99"/>
    <w:rPr>
      <w:rFonts w:ascii="Times New Roman" w:hAnsi="Times New Roman" w:eastAsia="宋体" w:cs="Times New Roman"/>
    </w:rPr>
  </w:style>
  <w:style w:type="character" w:customStyle="1" w:styleId="27">
    <w:name w:val="批注框文本 字符"/>
    <w:basedOn w:val="17"/>
    <w:link w:val="10"/>
    <w:qFormat/>
    <w:uiPriority w:val="99"/>
    <w:rPr>
      <w:rFonts w:ascii="Times New Roman" w:hAnsi="Times New Roman" w:eastAsia="宋体" w:cs="Times New Roman"/>
      <w:sz w:val="18"/>
      <w:szCs w:val="18"/>
    </w:rPr>
  </w:style>
  <w:style w:type="character" w:customStyle="1" w:styleId="28">
    <w:name w:val="页脚 字符"/>
    <w:basedOn w:val="17"/>
    <w:link w:val="11"/>
    <w:qFormat/>
    <w:uiPriority w:val="99"/>
    <w:rPr>
      <w:rFonts w:ascii="Times New Roman" w:hAnsi="Times New Roman" w:eastAsia="宋体" w:cs="Times New Roman"/>
      <w:sz w:val="18"/>
    </w:rPr>
  </w:style>
  <w:style w:type="character" w:customStyle="1" w:styleId="29">
    <w:name w:val="页眉 字符"/>
    <w:basedOn w:val="17"/>
    <w:link w:val="12"/>
    <w:qFormat/>
    <w:uiPriority w:val="99"/>
    <w:rPr>
      <w:rFonts w:ascii="Times New Roman" w:hAnsi="Times New Roman" w:eastAsia="宋体" w:cs="Times New Roman"/>
      <w:sz w:val="28"/>
    </w:rPr>
  </w:style>
  <w:style w:type="paragraph" w:customStyle="1" w:styleId="3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paragraph" w:customStyle="1" w:styleId="3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公文大标题"/>
    <w:qFormat/>
    <w:uiPriority w:val="0"/>
    <w:pPr>
      <w:spacing w:line="594" w:lineRule="exact"/>
      <w:jc w:val="center"/>
      <w:outlineLvl w:val="0"/>
    </w:pPr>
    <w:rPr>
      <w:rFonts w:ascii="Times New Roman" w:hAnsi="Times New Roman" w:eastAsia="方正小标宋_GBK" w:cs="Times New Roman"/>
      <w:sz w:val="44"/>
      <w:szCs w:val="44"/>
      <w:lang w:val="en-US" w:eastAsia="zh-CN" w:bidi="ar-SA"/>
    </w:rPr>
  </w:style>
  <w:style w:type="paragraph" w:customStyle="1" w:styleId="33">
    <w:name w:val="公文正文"/>
    <w:qFormat/>
    <w:uiPriority w:val="0"/>
    <w:pPr>
      <w:spacing w:line="594" w:lineRule="exact"/>
      <w:ind w:firstLine="420" w:firstLineChars="200"/>
      <w:jc w:val="both"/>
    </w:pPr>
    <w:rPr>
      <w:rFonts w:ascii="Times New Roman" w:hAnsi="Times New Roman" w:eastAsia="方正仿宋_GBK" w:cs="Times New Roman"/>
      <w:sz w:val="32"/>
      <w:szCs w:val="32"/>
      <w:lang w:val="en-US" w:eastAsia="zh-CN" w:bidi="ar-SA"/>
    </w:rPr>
  </w:style>
  <w:style w:type="paragraph" w:customStyle="1" w:styleId="34">
    <w:name w:val="公文一级标"/>
    <w:qFormat/>
    <w:uiPriority w:val="0"/>
    <w:pPr>
      <w:spacing w:line="594" w:lineRule="exact"/>
      <w:ind w:firstLine="420" w:firstLineChars="200"/>
      <w:jc w:val="both"/>
      <w:outlineLvl w:val="0"/>
    </w:pPr>
    <w:rPr>
      <w:rFonts w:ascii="Times New Roman" w:hAnsi="Times New Roman" w:eastAsia="方正黑体_GBK" w:cs="Times New Roman"/>
      <w:sz w:val="32"/>
      <w:szCs w:val="32"/>
      <w:lang w:val="en-US" w:eastAsia="zh-CN" w:bidi="ar-SA"/>
    </w:rPr>
  </w:style>
  <w:style w:type="character" w:customStyle="1" w:styleId="35">
    <w:name w:val="公文二级标 Char"/>
    <w:link w:val="36"/>
    <w:qFormat/>
    <w:uiPriority w:val="0"/>
    <w:rPr>
      <w:rFonts w:ascii="Times New Roman" w:hAnsi="Times New Roman" w:eastAsia="方正楷体_GBK" w:cs="Times New Roman"/>
      <w:sz w:val="32"/>
      <w:szCs w:val="32"/>
      <w:lang w:val="en-US" w:eastAsia="zh-CN" w:bidi="ar-SA"/>
    </w:rPr>
  </w:style>
  <w:style w:type="paragraph" w:customStyle="1" w:styleId="36">
    <w:name w:val="公文二级标"/>
    <w:next w:val="33"/>
    <w:link w:val="35"/>
    <w:qFormat/>
    <w:uiPriority w:val="0"/>
    <w:pPr>
      <w:spacing w:line="594" w:lineRule="exact"/>
      <w:ind w:firstLine="420" w:firstLineChars="200"/>
      <w:jc w:val="both"/>
    </w:pPr>
    <w:rPr>
      <w:rFonts w:ascii="Times New Roman" w:hAnsi="Times New Roman" w:eastAsia="方正楷体_GBK" w:cs="Times New Roman"/>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2</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2015-06-08T08:09:00Z</dcterms:created>
  <dc:creator>Lenovo User</dc:creator>
  <cp:lastModifiedBy> </cp:lastModifiedBy>
  <cp:lastPrinted>2023-04-14T17:01:00Z</cp:lastPrinted>
  <dcterms:modified xsi:type="dcterms:W3CDTF">2023-04-27T15:59:36Z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