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hint="eastAsia" w:ascii="方正仿宋_GBK" w:hAnsi="方正仿宋_GBK" w:cs="方正仿宋_GBK"/>
        </w:rPr>
      </w:pPr>
    </w:p>
    <w:p>
      <w:pPr>
        <w:snapToGrid w:val="0"/>
        <w:spacing w:line="276" w:lineRule="auto"/>
        <w:rPr>
          <w:rFonts w:hint="eastAsia" w:ascii="方正仿宋_GBK" w:hAnsi="方正仿宋_GBK" w:cs="方正仿宋_GBK"/>
        </w:rPr>
      </w:pPr>
    </w:p>
    <w:p>
      <w:pPr>
        <w:snapToGrid w:val="0"/>
        <w:spacing w:line="276" w:lineRule="auto"/>
        <w:rPr>
          <w:rFonts w:hint="eastAsia" w:ascii="方正仿宋_GBK" w:hAnsi="方正仿宋_GBK" w:cs="方正仿宋_GBK"/>
        </w:rPr>
      </w:pPr>
    </w:p>
    <w:p>
      <w:pPr>
        <w:snapToGrid w:val="0"/>
        <w:spacing w:line="276" w:lineRule="auto"/>
        <w:rPr>
          <w:rFonts w:hint="eastAsia" w:ascii="方正仿宋_GBK" w:hAnsi="方正仿宋_GBK" w:cs="方正仿宋_GBK"/>
        </w:rPr>
      </w:pPr>
    </w:p>
    <w:p>
      <w:pPr>
        <w:snapToGrid w:val="0"/>
        <w:spacing w:line="276" w:lineRule="auto"/>
        <w:rPr>
          <w:rFonts w:hint="eastAsia" w:ascii="方正仿宋_GBK" w:hAnsi="方正仿宋_GBK" w:cs="方正仿宋_GBK"/>
        </w:rPr>
      </w:pPr>
    </w:p>
    <w:p>
      <w:pPr>
        <w:snapToGrid w:val="0"/>
        <w:spacing w:line="276" w:lineRule="auto"/>
        <w:rPr>
          <w:rFonts w:hint="eastAsia" w:ascii="方正仿宋_GBK" w:hAnsi="方正仿宋_GBK" w:cs="方正仿宋_GBK"/>
        </w:rPr>
      </w:pPr>
    </w:p>
    <w:p>
      <w:pPr>
        <w:snapToGrid w:val="0"/>
        <w:spacing w:line="276" w:lineRule="auto"/>
        <w:rPr>
          <w:rFonts w:hint="eastAsia" w:ascii="方正仿宋_GBK" w:hAnsi="方正仿宋_GBK" w:cs="方正仿宋_GBK"/>
        </w:rPr>
      </w:pPr>
    </w:p>
    <w:p>
      <w:pPr>
        <w:snapToGrid w:val="0"/>
        <w:spacing w:line="276" w:lineRule="auto"/>
        <w:rPr>
          <w:rFonts w:hint="eastAsia" w:ascii="方正仿宋_GBK" w:hAnsi="方正仿宋_GBK" w:cs="方正仿宋_GBK"/>
        </w:rPr>
      </w:pPr>
    </w:p>
    <w:p>
      <w:pPr>
        <w:snapToGrid w:val="0"/>
        <w:spacing w:line="276" w:lineRule="auto"/>
        <w:jc w:val="center"/>
        <w:rPr>
          <w:rFonts w:hint="eastAsia" w:ascii="方正仿宋_GBK" w:hAnsi="方正仿宋_GBK" w:cs="方正仿宋_GBK"/>
        </w:rPr>
      </w:pPr>
      <w:r>
        <w:rPr>
          <w:rFonts w:hint="eastAsia" w:ascii="方正仿宋_GBK" w:hAnsi="方正仿宋_GBK" w:cs="方正仿宋_GBK"/>
        </w:rPr>
        <w:t>永川府办发〔2021〕81号</w:t>
      </w:r>
    </w:p>
    <w:p>
      <w:pPr>
        <w:snapToGrid w:val="0"/>
        <w:spacing w:line="276" w:lineRule="auto"/>
        <w:rPr>
          <w:rFonts w:hint="eastAsia" w:ascii="方正仿宋_GBK" w:hAnsi="方正仿宋_GBK" w:cs="方正仿宋_GBK"/>
        </w:rPr>
      </w:pPr>
    </w:p>
    <w:p>
      <w:pPr>
        <w:widowControl w:val="0"/>
        <w:snapToGrid w:val="0"/>
        <w:spacing w:line="276" w:lineRule="auto"/>
        <w:rPr>
          <w:rFonts w:hint="eastAsia" w:ascii="方正仿宋_GBK" w:hAnsi="方正仿宋_GBK" w:eastAsia="方正仿宋_GBK" w:cs="方正仿宋_GBK"/>
          <w:kern w:val="0"/>
          <w:szCs w:val="32"/>
        </w:rPr>
      </w:pPr>
    </w:p>
    <w:p>
      <w:pPr>
        <w:widowControl/>
        <w:adjustRightInd w:val="0"/>
        <w:snapToGrid w:val="0"/>
        <w:spacing w:line="240" w:lineRule="auto"/>
        <w:jc w:val="center"/>
        <w:rPr>
          <w:rFonts w:hint="eastAsia" w:ascii="方正小标宋_GBK" w:hAnsi="Calibri" w:eastAsia="方正小标宋_GBK" w:cs="宋体"/>
          <w:kern w:val="0"/>
          <w:sz w:val="44"/>
          <w:szCs w:val="44"/>
        </w:rPr>
      </w:pPr>
      <w:r>
        <w:rPr>
          <w:rFonts w:hint="eastAsia" w:ascii="方正小标宋_GBK" w:hAnsi="Calibri" w:eastAsia="方正小标宋_GBK" w:cs="宋体"/>
          <w:kern w:val="0"/>
          <w:sz w:val="44"/>
          <w:szCs w:val="44"/>
        </w:rPr>
        <w:t>重庆市永川区人民政府办公室</w:t>
      </w:r>
    </w:p>
    <w:p>
      <w:pPr>
        <w:widowControl/>
        <w:adjustRightInd w:val="0"/>
        <w:snapToGrid w:val="0"/>
        <w:spacing w:line="240" w:lineRule="auto"/>
        <w:jc w:val="center"/>
        <w:rPr>
          <w:rFonts w:hint="eastAsia" w:ascii="方正小标宋_GBK" w:hAnsi="Calibri" w:eastAsia="方正小标宋_GBK" w:cs="宋体"/>
          <w:kern w:val="0"/>
          <w:sz w:val="44"/>
          <w:szCs w:val="44"/>
        </w:rPr>
      </w:pPr>
      <w:r>
        <w:rPr>
          <w:rFonts w:hint="eastAsia" w:ascii="方正小标宋_GBK" w:hAnsi="Calibri" w:eastAsia="方正小标宋_GBK" w:cs="宋体"/>
          <w:kern w:val="0"/>
          <w:sz w:val="44"/>
          <w:szCs w:val="44"/>
        </w:rPr>
        <w:t>关于印发永川区金融业“十四五”发展规划（2021-2025）的通知</w:t>
      </w:r>
    </w:p>
    <w:p>
      <w:pPr>
        <w:widowControl w:val="0"/>
        <w:snapToGrid w:val="0"/>
        <w:spacing w:line="276" w:lineRule="auto"/>
        <w:rPr>
          <w:rFonts w:hint="eastAsia" w:ascii="仿宋_GB2312" w:hAnsi="Calibri" w:eastAsia="仿宋_GB2312" w:cs="宋体"/>
          <w:kern w:val="0"/>
          <w:szCs w:val="32"/>
        </w:rPr>
      </w:pPr>
      <w:r>
        <w:rPr>
          <w:rFonts w:hint="eastAsia" w:ascii="仿宋_GB2312" w:hAnsi="Calibri" w:eastAsia="仿宋_GB2312" w:cs="宋体"/>
          <w:kern w:val="0"/>
          <w:szCs w:val="32"/>
        </w:rPr>
        <w:t xml:space="preserve">  </w:t>
      </w:r>
    </w:p>
    <w:p>
      <w:pPr>
        <w:widowControl w:val="0"/>
        <w:adjustRightInd w:val="0"/>
        <w:snapToGrid w:val="0"/>
        <w:spacing w:line="276" w:lineRule="auto"/>
        <w:rPr>
          <w:rFonts w:hint="eastAsia" w:eastAsia="宋体"/>
          <w:kern w:val="0"/>
          <w:szCs w:val="32"/>
        </w:rPr>
      </w:pPr>
      <w:r>
        <w:rPr>
          <w:rFonts w:hint="eastAsia" w:ascii="方正仿宋_GBK" w:hAnsi="Calibri" w:cs="宋体"/>
          <w:kern w:val="0"/>
          <w:szCs w:val="32"/>
        </w:rPr>
        <w:t>各镇街人民政府、街道办事处，区政府各部门，有关单位：</w:t>
      </w:r>
    </w:p>
    <w:p>
      <w:pPr>
        <w:widowControl w:val="0"/>
        <w:adjustRightInd w:val="0"/>
        <w:snapToGrid w:val="0"/>
        <w:spacing w:line="276" w:lineRule="auto"/>
        <w:ind w:firstLine="640"/>
        <w:rPr>
          <w:rFonts w:eastAsia="宋体"/>
          <w:kern w:val="0"/>
          <w:szCs w:val="32"/>
        </w:rPr>
      </w:pPr>
      <w:r>
        <w:rPr>
          <w:rFonts w:hint="eastAsia" w:ascii="方正仿宋_GBK" w:hAnsi="Calibri" w:cs="宋体"/>
          <w:kern w:val="0"/>
          <w:szCs w:val="32"/>
        </w:rPr>
        <w:t>《永川区金融业“十四五”发展规划（</w:t>
      </w:r>
      <w:r>
        <w:rPr>
          <w:rFonts w:hint="eastAsia"/>
          <w:kern w:val="0"/>
          <w:szCs w:val="32"/>
        </w:rPr>
        <w:t>2021-2025</w:t>
      </w:r>
      <w:r>
        <w:rPr>
          <w:rFonts w:hint="eastAsia" w:ascii="方正仿宋_GBK" w:hAnsi="Calibri" w:cs="宋体"/>
          <w:kern w:val="0"/>
          <w:szCs w:val="32"/>
        </w:rPr>
        <w:t>）》已经区政府同意，现印发给你们，请认真贯彻落实。</w:t>
      </w:r>
    </w:p>
    <w:p>
      <w:pPr>
        <w:widowControl w:val="0"/>
        <w:adjustRightInd w:val="0"/>
        <w:snapToGrid w:val="0"/>
        <w:spacing w:line="276" w:lineRule="auto"/>
        <w:ind w:firstLine="640"/>
        <w:rPr>
          <w:rFonts w:ascii="仿宋_GB2312" w:hAnsi="Calibri" w:eastAsia="仿宋_GB2312" w:cs="宋体"/>
          <w:kern w:val="0"/>
          <w:szCs w:val="32"/>
        </w:rPr>
      </w:pPr>
      <w:r>
        <w:rPr>
          <w:rFonts w:hint="eastAsia" w:ascii="仿宋_GB2312" w:hAnsi="Calibri" w:eastAsia="仿宋_GB2312" w:cs="宋体"/>
          <w:kern w:val="0"/>
          <w:szCs w:val="32"/>
        </w:rPr>
        <w:t xml:space="preserve"> </w:t>
      </w:r>
    </w:p>
    <w:p>
      <w:pPr>
        <w:widowControl w:val="0"/>
        <w:adjustRightInd w:val="0"/>
        <w:snapToGrid w:val="0"/>
        <w:spacing w:line="276" w:lineRule="auto"/>
        <w:ind w:firstLine="640"/>
        <w:rPr>
          <w:rFonts w:hint="eastAsia" w:ascii="仿宋_GB2312" w:hAnsi="Calibri" w:eastAsia="仿宋_GB2312" w:cs="宋体"/>
          <w:kern w:val="0"/>
          <w:szCs w:val="32"/>
        </w:rPr>
      </w:pPr>
      <w:r>
        <w:rPr>
          <w:rFonts w:hint="eastAsia" w:ascii="仿宋_GB2312" w:hAnsi="Calibri" w:eastAsia="仿宋_GB2312" w:cs="宋体"/>
          <w:kern w:val="0"/>
          <w:szCs w:val="32"/>
        </w:rPr>
        <w:t xml:space="preserve"> </w:t>
      </w:r>
    </w:p>
    <w:p>
      <w:pPr>
        <w:widowControl w:val="0"/>
        <w:adjustRightInd w:val="0"/>
        <w:snapToGrid w:val="0"/>
        <w:spacing w:line="276" w:lineRule="auto"/>
        <w:ind w:firstLine="640"/>
        <w:jc w:val="center"/>
        <w:rPr>
          <w:rFonts w:hint="eastAsia" w:eastAsia="宋体"/>
          <w:kern w:val="0"/>
          <w:szCs w:val="32"/>
        </w:rPr>
      </w:pPr>
      <w:r>
        <w:rPr>
          <w:rFonts w:hint="eastAsia" w:ascii="方正仿宋_GBK" w:hAnsi="Calibri" w:cs="宋体"/>
          <w:kern w:val="0"/>
          <w:szCs w:val="32"/>
          <w:lang w:val="en-US" w:eastAsia="zh-CN"/>
        </w:rPr>
        <w:t xml:space="preserve">                     </w:t>
      </w:r>
      <w:r>
        <w:rPr>
          <w:rFonts w:hint="eastAsia" w:ascii="方正仿宋_GBK" w:hAnsi="Calibri" w:cs="宋体"/>
          <w:kern w:val="0"/>
          <w:szCs w:val="32"/>
        </w:rPr>
        <w:t>重庆市永川区人民政府办公室</w:t>
      </w:r>
    </w:p>
    <w:p>
      <w:pPr>
        <w:widowControl w:val="0"/>
        <w:adjustRightInd w:val="0"/>
        <w:snapToGrid w:val="0"/>
        <w:spacing w:line="276" w:lineRule="auto"/>
        <w:ind w:firstLine="640"/>
        <w:jc w:val="center"/>
        <w:rPr>
          <w:rFonts w:eastAsia="宋体"/>
          <w:kern w:val="0"/>
          <w:szCs w:val="32"/>
        </w:rPr>
      </w:pPr>
      <w:r>
        <w:rPr>
          <w:rFonts w:hint="eastAsia" w:ascii="方正仿宋_GBK" w:hAnsi="Calibri" w:cs="宋体"/>
          <w:kern w:val="0"/>
          <w:szCs w:val="32"/>
          <w:lang w:val="en-US" w:eastAsia="zh-CN"/>
        </w:rPr>
        <w:t xml:space="preserve">                     </w:t>
      </w:r>
      <w:r>
        <w:rPr>
          <w:rFonts w:hint="eastAsia" w:ascii="方正仿宋_GBK" w:hAnsi="Calibri" w:cs="宋体"/>
          <w:kern w:val="0"/>
          <w:szCs w:val="32"/>
        </w:rPr>
        <w:t>2021年</w:t>
      </w:r>
      <w:r>
        <w:rPr>
          <w:rFonts w:hint="eastAsia"/>
          <w:kern w:val="0"/>
          <w:szCs w:val="32"/>
        </w:rPr>
        <w:t>8</w:t>
      </w:r>
      <w:r>
        <w:rPr>
          <w:rFonts w:hint="eastAsia" w:ascii="方正仿宋_GBK" w:hAnsi="Calibri" w:cs="宋体"/>
          <w:kern w:val="0"/>
          <w:szCs w:val="32"/>
        </w:rPr>
        <w:t>月</w:t>
      </w:r>
      <w:r>
        <w:rPr>
          <w:rFonts w:hint="eastAsia" w:ascii="方正仿宋_GBK" w:hAnsi="Calibri" w:cs="宋体"/>
          <w:kern w:val="0"/>
          <w:szCs w:val="32"/>
          <w:lang w:val="en-US" w:eastAsia="zh-CN"/>
        </w:rPr>
        <w:t>9</w:t>
      </w:r>
      <w:r>
        <w:rPr>
          <w:rFonts w:hint="eastAsia" w:ascii="方正仿宋_GBK" w:hAnsi="Calibri" w:cs="宋体"/>
          <w:kern w:val="0"/>
          <w:szCs w:val="32"/>
        </w:rPr>
        <w:t>日</w:t>
      </w:r>
    </w:p>
    <w:p>
      <w:pPr>
        <w:widowControl w:val="0"/>
        <w:adjustRightInd w:val="0"/>
        <w:snapToGrid w:val="0"/>
        <w:spacing w:line="276" w:lineRule="auto"/>
        <w:ind w:firstLine="640"/>
        <w:rPr>
          <w:rFonts w:eastAsia="宋体"/>
          <w:kern w:val="0"/>
          <w:szCs w:val="32"/>
        </w:rPr>
      </w:pPr>
      <w:r>
        <w:rPr>
          <w:rFonts w:eastAsia="宋体"/>
          <w:kern w:val="0"/>
          <w:szCs w:val="32"/>
        </w:rPr>
        <w:t xml:space="preserve"> </w:t>
      </w:r>
      <w:r>
        <w:rPr>
          <w:rFonts w:hint="eastAsia" w:ascii="方正仿宋_GBK" w:hAnsi="Calibri" w:cs="宋体"/>
          <w:kern w:val="0"/>
          <w:szCs w:val="32"/>
        </w:rPr>
        <w:t>（此件公开发布）</w:t>
      </w:r>
    </w:p>
    <w:p>
      <w:pPr>
        <w:widowControl w:val="0"/>
        <w:snapToGrid w:val="0"/>
        <w:spacing w:line="240" w:lineRule="auto"/>
        <w:jc w:val="center"/>
        <w:rPr>
          <w:rFonts w:hint="eastAsia" w:ascii="方正小标宋_GBK" w:hAnsi="Calibri" w:eastAsia="方正小标宋_GBK" w:cs="宋体"/>
          <w:kern w:val="0"/>
          <w:sz w:val="44"/>
          <w:szCs w:val="44"/>
        </w:rPr>
      </w:pPr>
      <w:r>
        <w:rPr>
          <w:rFonts w:ascii="方正小标宋_GBK" w:hAnsi="Calibri" w:eastAsia="方正小标宋_GBK" w:cs="宋体"/>
          <w:kern w:val="0"/>
          <w:sz w:val="44"/>
          <w:szCs w:val="44"/>
        </w:rPr>
        <w:t>永川区金融业</w:t>
      </w:r>
      <w:r>
        <w:rPr>
          <w:rFonts w:hint="eastAsia" w:ascii="方正小标宋_GBK" w:hAnsi="Calibri" w:eastAsia="方正小标宋_GBK" w:cs="宋体"/>
          <w:kern w:val="0"/>
          <w:sz w:val="44"/>
          <w:szCs w:val="44"/>
        </w:rPr>
        <w:t>“</w:t>
      </w:r>
      <w:r>
        <w:rPr>
          <w:rFonts w:ascii="方正小标宋_GBK" w:hAnsi="Calibri" w:eastAsia="方正小标宋_GBK" w:cs="宋体"/>
          <w:kern w:val="0"/>
          <w:sz w:val="44"/>
          <w:szCs w:val="44"/>
        </w:rPr>
        <w:t>十四五</w:t>
      </w:r>
      <w:r>
        <w:rPr>
          <w:rFonts w:hint="eastAsia" w:ascii="方正小标宋_GBK" w:hAnsi="Calibri" w:eastAsia="方正小标宋_GBK" w:cs="宋体"/>
          <w:kern w:val="0"/>
          <w:sz w:val="44"/>
          <w:szCs w:val="44"/>
        </w:rPr>
        <w:t>”</w:t>
      </w:r>
      <w:r>
        <w:rPr>
          <w:rFonts w:ascii="方正小标宋_GBK" w:hAnsi="Calibri" w:eastAsia="方正小标宋_GBK" w:cs="宋体"/>
          <w:kern w:val="0"/>
          <w:sz w:val="44"/>
          <w:szCs w:val="44"/>
        </w:rPr>
        <w:t>发展规划</w:t>
      </w:r>
      <w:r>
        <w:rPr>
          <w:rFonts w:hint="eastAsia" w:ascii="方正小标宋_GBK" w:hAnsi="Calibri" w:eastAsia="方正小标宋_GBK" w:cs="宋体"/>
          <w:kern w:val="0"/>
          <w:sz w:val="44"/>
          <w:szCs w:val="44"/>
        </w:rPr>
        <w:t>（</w:t>
      </w:r>
      <w:r>
        <w:rPr>
          <w:rFonts w:ascii="方正小标宋_GBK" w:hAnsi="Calibri" w:eastAsia="方正小标宋_GBK" w:cs="宋体"/>
          <w:kern w:val="0"/>
          <w:sz w:val="44"/>
          <w:szCs w:val="44"/>
        </w:rPr>
        <w:t>2021-2025</w:t>
      </w:r>
      <w:r>
        <w:rPr>
          <w:rFonts w:hint="eastAsia" w:ascii="方正小标宋_GBK" w:hAnsi="Calibri" w:eastAsia="方正小标宋_GBK" w:cs="宋体"/>
          <w:kern w:val="0"/>
          <w:sz w:val="44"/>
          <w:szCs w:val="44"/>
        </w:rPr>
        <w:t>）</w:t>
      </w:r>
    </w:p>
    <w:p>
      <w:pPr>
        <w:widowControl w:val="0"/>
        <w:snapToGrid w:val="0"/>
        <w:spacing w:line="240" w:lineRule="auto"/>
        <w:jc w:val="both"/>
        <w:rPr>
          <w:rFonts w:hint="eastAsia" w:ascii="方正小标宋_GBK" w:hAnsi="Calibri" w:eastAsia="方正小标宋_GBK" w:cs="宋体"/>
          <w:kern w:val="0"/>
          <w:sz w:val="32"/>
          <w:szCs w:val="32"/>
        </w:rPr>
      </w:pPr>
    </w:p>
    <w:p>
      <w:pPr>
        <w:widowControl w:val="0"/>
        <w:snapToGrid w:val="0"/>
        <w:spacing w:line="240" w:lineRule="auto"/>
        <w:jc w:val="center"/>
        <w:rPr>
          <w:rFonts w:hint="eastAsia" w:ascii="方正黑体_GBK" w:hAnsi="方正黑体_GBK" w:eastAsia="方正黑体_GBK" w:cs="方正黑体_GBK"/>
          <w:spacing w:val="-10"/>
          <w:kern w:val="0"/>
          <w:sz w:val="32"/>
          <w:szCs w:val="32"/>
        </w:rPr>
      </w:pPr>
      <w:r>
        <w:rPr>
          <w:rFonts w:hint="eastAsia" w:ascii="方正黑体_GBK" w:hAnsi="方正黑体_GBK" w:eastAsia="方正黑体_GBK" w:cs="方正黑体_GBK"/>
          <w:spacing w:val="-10"/>
          <w:kern w:val="0"/>
          <w:sz w:val="32"/>
          <w:szCs w:val="32"/>
        </w:rPr>
        <w:t>目  录</w:t>
      </w:r>
    </w:p>
    <w:p>
      <w:pPr>
        <w:widowControl w:val="0"/>
        <w:snapToGrid w:val="0"/>
        <w:spacing w:line="240" w:lineRule="auto"/>
        <w:rPr>
          <w:rFonts w:hint="eastAsia" w:eastAsia="宋体"/>
          <w:kern w:val="0"/>
          <w:szCs w:val="32"/>
        </w:rPr>
      </w:pPr>
    </w:p>
    <w:p>
      <w:pPr>
        <w:widowControl w:val="0"/>
        <w:snapToGrid w:val="0"/>
        <w:spacing w:line="276" w:lineRule="auto"/>
        <w:rPr>
          <w:rFonts w:eastAsia="宋体"/>
          <w:kern w:val="0"/>
          <w:szCs w:val="32"/>
        </w:rPr>
      </w:pPr>
      <w:r>
        <w:rPr>
          <w:rFonts w:hint="eastAsia" w:ascii="方正黑体_GBK" w:hAnsi="Calibri" w:eastAsia="方正黑体_GBK" w:cs="宋体"/>
          <w:kern w:val="0"/>
          <w:szCs w:val="32"/>
        </w:rPr>
        <w:t>第一章  发展基础与面临形势</w:t>
      </w:r>
      <w:r>
        <w:rPr>
          <w:rFonts w:eastAsia="方正仿宋_GBK"/>
          <w:bCs/>
          <w:position w:val="8"/>
          <w:sz w:val="32"/>
          <w:szCs w:val="32"/>
        </w:rPr>
        <w:t>…………………………………</w:t>
      </w:r>
      <w:r>
        <w:rPr>
          <w:rFonts w:hint="eastAsia" w:eastAsia="宋体"/>
          <w:kern w:val="0"/>
          <w:szCs w:val="32"/>
          <w:lang w:eastAsia="zh-CN"/>
        </w:rPr>
        <w:t>（</w:t>
      </w:r>
      <w:r>
        <w:rPr>
          <w:rFonts w:hint="eastAsia"/>
          <w:kern w:val="0"/>
          <w:szCs w:val="32"/>
          <w:lang w:val="en-US" w:eastAsia="zh-CN"/>
        </w:rPr>
        <w:t>6</w:t>
      </w:r>
      <w:r>
        <w:rPr>
          <w:rFonts w:hint="eastAsia" w:ascii="方正仿宋_GBK" w:hAnsi="Calibri" w:cs="宋体"/>
          <w:kern w:val="0"/>
          <w:szCs w:val="32"/>
          <w:lang w:eastAsia="zh-CN"/>
        </w:rPr>
        <w:t>）</w:t>
      </w:r>
    </w:p>
    <w:p>
      <w:pPr>
        <w:widowControl w:val="0"/>
        <w:adjustRightInd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第一节  发展基础</w:t>
      </w:r>
      <w:r>
        <w:rPr>
          <w:rFonts w:eastAsia="方正仿宋_GBK"/>
          <w:bCs/>
          <w:position w:val="8"/>
          <w:sz w:val="32"/>
          <w:szCs w:val="32"/>
        </w:rPr>
        <w:t>……………………………………………</w:t>
      </w:r>
      <w:r>
        <w:rPr>
          <w:rFonts w:hint="eastAsia" w:ascii="方正楷体_GBK" w:hAnsi="Calibri" w:eastAsia="方正楷体_GBK" w:cs="宋体"/>
          <w:kern w:val="0"/>
          <w:szCs w:val="32"/>
          <w:lang w:eastAsia="zh-CN"/>
        </w:rPr>
        <w:t>（</w:t>
      </w:r>
      <w:r>
        <w:rPr>
          <w:rFonts w:hint="eastAsia"/>
          <w:kern w:val="0"/>
          <w:szCs w:val="32"/>
          <w:lang w:val="en-US" w:eastAsia="zh-CN"/>
        </w:rPr>
        <w:t>6</w:t>
      </w:r>
      <w:r>
        <w:rPr>
          <w:rFonts w:hint="eastAsia" w:ascii="方正仿宋_GBK" w:hAnsi="Calibri" w:cs="宋体"/>
          <w:kern w:val="0"/>
          <w:szCs w:val="32"/>
          <w:lang w:eastAsia="zh-CN"/>
        </w:rPr>
        <w:t>）</w:t>
      </w:r>
    </w:p>
    <w:p>
      <w:pPr>
        <w:widowControl w:val="0"/>
        <w:adjustRightInd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一、金融综合实力稳步提升</w:t>
      </w:r>
      <w:r>
        <w:rPr>
          <w:rFonts w:eastAsia="方正仿宋_GBK"/>
          <w:bCs/>
          <w:position w:val="8"/>
          <w:sz w:val="32"/>
          <w:szCs w:val="32"/>
        </w:rPr>
        <w:t>……………………………</w:t>
      </w:r>
      <w:r>
        <w:rPr>
          <w:rFonts w:hint="eastAsia" w:eastAsia="宋体"/>
          <w:kern w:val="0"/>
          <w:szCs w:val="32"/>
        </w:rPr>
        <w:t xml:space="preserve"> </w:t>
      </w:r>
      <w:r>
        <w:rPr>
          <w:rFonts w:hint="eastAsia" w:ascii="方正仿宋_GBK" w:hAnsi="Calibri" w:cs="宋体"/>
          <w:kern w:val="0"/>
          <w:szCs w:val="32"/>
          <w:lang w:eastAsia="zh-CN"/>
        </w:rPr>
        <w:t>（</w:t>
      </w:r>
      <w:r>
        <w:rPr>
          <w:rFonts w:hint="eastAsia"/>
          <w:kern w:val="0"/>
          <w:szCs w:val="32"/>
          <w:lang w:val="en-US" w:eastAsia="zh-CN"/>
        </w:rPr>
        <w:t>6</w:t>
      </w:r>
      <w:r>
        <w:rPr>
          <w:rFonts w:hint="eastAsia" w:ascii="方正仿宋_GBK" w:hAnsi="Calibri" w:cs="宋体"/>
          <w:kern w:val="0"/>
          <w:szCs w:val="32"/>
          <w:lang w:eastAsia="zh-CN"/>
        </w:rPr>
        <w:t>）</w:t>
      </w:r>
    </w:p>
    <w:p>
      <w:pPr>
        <w:widowControl w:val="0"/>
        <w:adjustRightInd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二、金融组织体系不断完善</w:t>
      </w:r>
      <w:r>
        <w:rPr>
          <w:rFonts w:eastAsia="方正仿宋_GBK"/>
          <w:bCs/>
          <w:position w:val="8"/>
          <w:sz w:val="32"/>
          <w:szCs w:val="32"/>
        </w:rPr>
        <w:t>……………………………</w:t>
      </w:r>
      <w:r>
        <w:rPr>
          <w:rFonts w:hint="eastAsia" w:ascii="方正仿宋_GBK" w:hAnsi="Calibri" w:cs="宋体"/>
          <w:kern w:val="0"/>
          <w:szCs w:val="32"/>
          <w:lang w:eastAsia="zh-CN"/>
        </w:rPr>
        <w:t>（</w:t>
      </w:r>
      <w:r>
        <w:rPr>
          <w:rFonts w:hint="eastAsia"/>
          <w:kern w:val="0"/>
          <w:szCs w:val="32"/>
          <w:lang w:val="en-US" w:eastAsia="zh-CN"/>
        </w:rPr>
        <w:t>7</w:t>
      </w:r>
      <w:r>
        <w:rPr>
          <w:rFonts w:hint="eastAsia" w:ascii="方正仿宋_GBK" w:hAnsi="Calibri" w:cs="宋体"/>
          <w:kern w:val="0"/>
          <w:szCs w:val="32"/>
          <w:lang w:eastAsia="zh-CN"/>
        </w:rPr>
        <w:t>）</w:t>
      </w:r>
    </w:p>
    <w:p>
      <w:pPr>
        <w:widowControl w:val="0"/>
        <w:adjustRightInd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三、服务实体能力显著增强</w:t>
      </w:r>
      <w:r>
        <w:rPr>
          <w:rFonts w:eastAsia="方正仿宋_GBK"/>
          <w:bCs/>
          <w:position w:val="8"/>
          <w:sz w:val="32"/>
          <w:szCs w:val="32"/>
        </w:rPr>
        <w:t>……………………………</w:t>
      </w:r>
      <w:r>
        <w:rPr>
          <w:rFonts w:hint="eastAsia" w:ascii="方正仿宋_GBK" w:hAnsi="Calibri" w:cs="宋体"/>
          <w:kern w:val="0"/>
          <w:szCs w:val="32"/>
          <w:lang w:eastAsia="zh-CN"/>
        </w:rPr>
        <w:t>（</w:t>
      </w:r>
      <w:r>
        <w:rPr>
          <w:rFonts w:hint="eastAsia"/>
          <w:kern w:val="0"/>
          <w:szCs w:val="32"/>
          <w:lang w:val="en-US" w:eastAsia="zh-CN"/>
        </w:rPr>
        <w:t>7</w:t>
      </w:r>
      <w:r>
        <w:rPr>
          <w:rFonts w:hint="eastAsia" w:ascii="方正仿宋_GBK" w:hAnsi="Calibri" w:cs="宋体"/>
          <w:kern w:val="0"/>
          <w:szCs w:val="32"/>
          <w:lang w:eastAsia="zh-CN"/>
        </w:rPr>
        <w:t>）</w:t>
      </w:r>
    </w:p>
    <w:p>
      <w:pPr>
        <w:widowControl w:val="0"/>
        <w:adjustRightInd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四、惠小微保民生卓有成效</w:t>
      </w:r>
      <w:r>
        <w:rPr>
          <w:rFonts w:eastAsia="方正仿宋_GBK"/>
          <w:bCs/>
          <w:position w:val="8"/>
          <w:sz w:val="32"/>
          <w:szCs w:val="32"/>
        </w:rPr>
        <w:t>……………………………</w:t>
      </w:r>
      <w:r>
        <w:rPr>
          <w:rFonts w:hint="eastAsia" w:ascii="方正仿宋_GBK" w:hAnsi="Calibri" w:cs="宋体"/>
          <w:kern w:val="0"/>
          <w:szCs w:val="32"/>
          <w:lang w:eastAsia="zh-CN"/>
        </w:rPr>
        <w:t>（</w:t>
      </w:r>
      <w:r>
        <w:rPr>
          <w:rFonts w:hint="eastAsia"/>
          <w:kern w:val="0"/>
          <w:szCs w:val="32"/>
          <w:lang w:val="en-US" w:eastAsia="zh-CN"/>
        </w:rPr>
        <w:t>8</w:t>
      </w:r>
      <w:r>
        <w:rPr>
          <w:rFonts w:hint="eastAsia" w:ascii="方正仿宋_GBK" w:hAnsi="Calibri" w:cs="宋体"/>
          <w:kern w:val="0"/>
          <w:szCs w:val="32"/>
          <w:lang w:eastAsia="zh-CN"/>
        </w:rPr>
        <w:t>）</w:t>
      </w:r>
    </w:p>
    <w:p>
      <w:pPr>
        <w:widowControl w:val="0"/>
        <w:adjustRightInd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五、金融生态环境持续改善</w:t>
      </w:r>
      <w:r>
        <w:rPr>
          <w:rFonts w:eastAsia="方正仿宋_GBK"/>
          <w:bCs/>
          <w:position w:val="8"/>
          <w:sz w:val="32"/>
          <w:szCs w:val="32"/>
        </w:rPr>
        <w:t>……………………………</w:t>
      </w:r>
      <w:r>
        <w:rPr>
          <w:rFonts w:hint="eastAsia" w:ascii="方正仿宋_GBK" w:hAnsi="Calibri" w:cs="宋体"/>
          <w:kern w:val="0"/>
          <w:szCs w:val="32"/>
          <w:lang w:eastAsia="zh-CN"/>
        </w:rPr>
        <w:t>（</w:t>
      </w:r>
      <w:r>
        <w:rPr>
          <w:rFonts w:hint="eastAsia"/>
          <w:kern w:val="0"/>
          <w:szCs w:val="32"/>
          <w:lang w:val="en-US" w:eastAsia="zh-CN"/>
        </w:rPr>
        <w:t>9</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第二节  面临形势</w:t>
      </w:r>
      <w:r>
        <w:rPr>
          <w:rFonts w:eastAsia="方正仿宋_GBK"/>
          <w:bCs/>
          <w:position w:val="8"/>
          <w:sz w:val="32"/>
          <w:szCs w:val="32"/>
        </w:rPr>
        <w:t>…………………………………………</w:t>
      </w:r>
      <w:r>
        <w:rPr>
          <w:rFonts w:hint="eastAsia" w:ascii="方正楷体_GBK" w:hAnsi="Calibri" w:eastAsia="方正楷体_GBK" w:cs="宋体"/>
          <w:kern w:val="0"/>
          <w:szCs w:val="32"/>
          <w:lang w:eastAsia="zh-CN"/>
        </w:rPr>
        <w:t>（</w:t>
      </w:r>
      <w:r>
        <w:rPr>
          <w:rFonts w:hint="eastAsia"/>
          <w:kern w:val="0"/>
          <w:szCs w:val="32"/>
          <w:lang w:val="en-US" w:eastAsia="zh-CN"/>
        </w:rPr>
        <w:t>10</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一、发展机遇</w:t>
      </w:r>
      <w:r>
        <w:rPr>
          <w:rFonts w:eastAsia="方正仿宋_GBK"/>
          <w:bCs/>
          <w:position w:val="8"/>
          <w:sz w:val="32"/>
          <w:szCs w:val="32"/>
        </w:rPr>
        <w:t>……………………………………………</w:t>
      </w:r>
      <w:r>
        <w:rPr>
          <w:rFonts w:hint="eastAsia" w:ascii="方正仿宋_GBK" w:hAnsi="Calibri" w:cs="宋体"/>
          <w:kern w:val="0"/>
          <w:szCs w:val="32"/>
          <w:lang w:eastAsia="zh-CN"/>
        </w:rPr>
        <w:t>（</w:t>
      </w:r>
      <w:r>
        <w:rPr>
          <w:rFonts w:hint="eastAsia"/>
          <w:kern w:val="0"/>
          <w:szCs w:val="32"/>
          <w:lang w:val="en-US" w:eastAsia="zh-CN"/>
        </w:rPr>
        <w:t>10</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二、存在问题</w:t>
      </w:r>
      <w:r>
        <w:rPr>
          <w:rFonts w:eastAsia="方正仿宋_GBK"/>
          <w:bCs/>
          <w:position w:val="8"/>
          <w:sz w:val="32"/>
          <w:szCs w:val="32"/>
        </w:rPr>
        <w:t>……………………………………………</w:t>
      </w:r>
      <w:r>
        <w:rPr>
          <w:rFonts w:hint="eastAsia" w:ascii="方正仿宋_GBK" w:hAnsi="Calibri" w:cs="宋体"/>
          <w:kern w:val="0"/>
          <w:szCs w:val="32"/>
          <w:lang w:eastAsia="zh-CN"/>
        </w:rPr>
        <w:t>（</w:t>
      </w:r>
      <w:r>
        <w:rPr>
          <w:rFonts w:hint="eastAsia"/>
          <w:kern w:val="0"/>
          <w:szCs w:val="32"/>
          <w:lang w:val="en-US" w:eastAsia="zh-CN"/>
        </w:rPr>
        <w:t>11</w:t>
      </w:r>
      <w:r>
        <w:rPr>
          <w:rFonts w:hint="eastAsia" w:ascii="方正仿宋_GBK" w:hAnsi="Calibri" w:cs="宋体"/>
          <w:kern w:val="0"/>
          <w:szCs w:val="32"/>
          <w:lang w:eastAsia="zh-CN"/>
        </w:rPr>
        <w:t>）</w:t>
      </w:r>
    </w:p>
    <w:p>
      <w:pPr>
        <w:widowControl w:val="0"/>
        <w:snapToGrid w:val="0"/>
        <w:spacing w:line="276" w:lineRule="auto"/>
        <w:rPr>
          <w:rFonts w:hint="eastAsia" w:eastAsia="方正仿宋_GBK"/>
          <w:kern w:val="0"/>
          <w:szCs w:val="32"/>
          <w:lang w:eastAsia="zh-CN"/>
        </w:rPr>
      </w:pPr>
      <w:r>
        <w:rPr>
          <w:rFonts w:hint="eastAsia" w:ascii="方正黑体_GBK" w:hAnsi="Calibri" w:eastAsia="方正黑体_GBK" w:cs="宋体"/>
          <w:kern w:val="0"/>
          <w:szCs w:val="32"/>
        </w:rPr>
        <w:t>第二章  总体要求与发展目标</w:t>
      </w:r>
      <w:r>
        <w:rPr>
          <w:rFonts w:eastAsia="方正仿宋_GBK"/>
          <w:bCs/>
          <w:position w:val="8"/>
          <w:sz w:val="32"/>
          <w:szCs w:val="32"/>
        </w:rPr>
        <w:t>………………………………</w:t>
      </w:r>
      <w:r>
        <w:rPr>
          <w:rFonts w:hint="eastAsia" w:ascii="方正黑体_GBK" w:hAnsi="Calibri" w:eastAsia="方正黑体_GBK" w:cs="宋体"/>
          <w:kern w:val="0"/>
          <w:szCs w:val="32"/>
          <w:lang w:eastAsia="zh-CN"/>
        </w:rPr>
        <w:t>（</w:t>
      </w:r>
      <w:r>
        <w:rPr>
          <w:rFonts w:hint="eastAsia"/>
          <w:kern w:val="0"/>
          <w:szCs w:val="32"/>
          <w:lang w:val="en-US" w:eastAsia="zh-CN"/>
        </w:rPr>
        <w:t>12</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第一节  总体要求</w:t>
      </w:r>
      <w:r>
        <w:rPr>
          <w:rFonts w:eastAsia="方正仿宋_GBK"/>
          <w:bCs/>
          <w:position w:val="8"/>
          <w:sz w:val="32"/>
          <w:szCs w:val="32"/>
        </w:rPr>
        <w:t>…………………………………………</w:t>
      </w:r>
      <w:r>
        <w:rPr>
          <w:rFonts w:hint="eastAsia" w:ascii="方正楷体_GBK" w:hAnsi="Calibri" w:eastAsia="方正楷体_GBK" w:cs="宋体"/>
          <w:kern w:val="0"/>
          <w:szCs w:val="32"/>
          <w:lang w:eastAsia="zh-CN"/>
        </w:rPr>
        <w:t>（</w:t>
      </w:r>
      <w:r>
        <w:rPr>
          <w:rFonts w:hint="eastAsia"/>
          <w:kern w:val="0"/>
          <w:szCs w:val="32"/>
          <w:lang w:val="en-US" w:eastAsia="zh-CN"/>
        </w:rPr>
        <w:t>12</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一、指导思想</w:t>
      </w:r>
      <w:r>
        <w:rPr>
          <w:rFonts w:eastAsia="方正仿宋_GBK"/>
          <w:bCs/>
          <w:position w:val="8"/>
          <w:sz w:val="32"/>
          <w:szCs w:val="32"/>
        </w:rPr>
        <w:t>……………………………………………</w:t>
      </w:r>
      <w:r>
        <w:rPr>
          <w:rFonts w:hint="eastAsia" w:ascii="方正仿宋_GBK" w:hAnsi="Calibri" w:cs="宋体"/>
          <w:kern w:val="0"/>
          <w:szCs w:val="32"/>
          <w:lang w:eastAsia="zh-CN"/>
        </w:rPr>
        <w:t>（</w:t>
      </w:r>
      <w:r>
        <w:rPr>
          <w:rFonts w:hint="eastAsia"/>
          <w:kern w:val="0"/>
          <w:szCs w:val="32"/>
          <w:lang w:val="en-US" w:eastAsia="zh-CN"/>
        </w:rPr>
        <w:t>12</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二、基本原则</w:t>
      </w:r>
      <w:r>
        <w:rPr>
          <w:rFonts w:eastAsia="方正仿宋_GBK"/>
          <w:bCs/>
          <w:position w:val="8"/>
          <w:sz w:val="32"/>
          <w:szCs w:val="32"/>
        </w:rPr>
        <w:t>……………………………………………</w:t>
      </w:r>
      <w:r>
        <w:rPr>
          <w:rFonts w:hint="eastAsia" w:ascii="方正仿宋_GBK" w:hAnsi="Calibri" w:cs="宋体"/>
          <w:kern w:val="0"/>
          <w:szCs w:val="32"/>
          <w:lang w:eastAsia="zh-CN"/>
        </w:rPr>
        <w:t>（</w:t>
      </w:r>
      <w:r>
        <w:rPr>
          <w:rFonts w:hint="eastAsia"/>
          <w:kern w:val="0"/>
          <w:szCs w:val="32"/>
          <w:lang w:val="en-US" w:eastAsia="zh-CN"/>
        </w:rPr>
        <w:t>13</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第二节  发展目标</w:t>
      </w:r>
      <w:r>
        <w:rPr>
          <w:rFonts w:eastAsia="方正仿宋_GBK"/>
          <w:bCs/>
          <w:position w:val="8"/>
          <w:sz w:val="32"/>
          <w:szCs w:val="32"/>
        </w:rPr>
        <w:t>…………………………………………</w:t>
      </w:r>
      <w:r>
        <w:rPr>
          <w:rFonts w:hint="eastAsia" w:ascii="方正楷体_GBK" w:hAnsi="Calibri" w:eastAsia="方正楷体_GBK" w:cs="宋体"/>
          <w:kern w:val="0"/>
          <w:szCs w:val="32"/>
          <w:lang w:eastAsia="zh-CN"/>
        </w:rPr>
        <w:t>（</w:t>
      </w:r>
      <w:r>
        <w:rPr>
          <w:rFonts w:hint="eastAsia"/>
          <w:kern w:val="0"/>
          <w:szCs w:val="32"/>
          <w:lang w:val="en-US" w:eastAsia="zh-CN"/>
        </w:rPr>
        <w:t>14</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一、总体目标</w:t>
      </w:r>
      <w:r>
        <w:rPr>
          <w:rFonts w:eastAsia="方正仿宋_GBK"/>
          <w:bCs/>
          <w:position w:val="8"/>
          <w:sz w:val="32"/>
          <w:szCs w:val="32"/>
        </w:rPr>
        <w:t>……………………………………………</w:t>
      </w:r>
      <w:r>
        <w:rPr>
          <w:rFonts w:hint="eastAsia" w:eastAsia="宋体"/>
          <w:kern w:val="0"/>
          <w:szCs w:val="32"/>
          <w:lang w:eastAsia="zh-CN"/>
        </w:rPr>
        <w:t>（</w:t>
      </w:r>
      <w:r>
        <w:rPr>
          <w:rFonts w:hint="eastAsia"/>
          <w:kern w:val="0"/>
          <w:szCs w:val="32"/>
          <w:lang w:val="en-US" w:eastAsia="zh-CN"/>
        </w:rPr>
        <w:t>14</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二、阶段目标</w:t>
      </w:r>
      <w:r>
        <w:rPr>
          <w:rFonts w:eastAsia="方正仿宋_GBK"/>
          <w:bCs/>
          <w:position w:val="8"/>
          <w:sz w:val="32"/>
          <w:szCs w:val="32"/>
        </w:rPr>
        <w:t>……………………………………………</w:t>
      </w:r>
      <w:r>
        <w:rPr>
          <w:rFonts w:hint="eastAsia" w:ascii="方正仿宋_GBK" w:hAnsi="Calibri" w:cs="宋体"/>
          <w:kern w:val="0"/>
          <w:szCs w:val="32"/>
          <w:lang w:eastAsia="zh-CN"/>
        </w:rPr>
        <w:t>（</w:t>
      </w:r>
      <w:r>
        <w:rPr>
          <w:rFonts w:hint="eastAsia"/>
          <w:kern w:val="0"/>
          <w:szCs w:val="32"/>
          <w:lang w:val="en-US" w:eastAsia="zh-CN"/>
        </w:rPr>
        <w:t>15</w:t>
      </w:r>
      <w:r>
        <w:rPr>
          <w:rFonts w:hint="eastAsia" w:ascii="方正仿宋_GBK" w:hAnsi="Calibri" w:cs="宋体"/>
          <w:kern w:val="0"/>
          <w:szCs w:val="32"/>
          <w:lang w:eastAsia="zh-CN"/>
        </w:rPr>
        <w:t>）</w:t>
      </w:r>
    </w:p>
    <w:p>
      <w:pPr>
        <w:widowControl w:val="0"/>
        <w:snapToGrid w:val="0"/>
        <w:spacing w:line="276" w:lineRule="auto"/>
        <w:rPr>
          <w:rFonts w:hint="eastAsia" w:eastAsia="方正仿宋_GBK"/>
          <w:kern w:val="0"/>
          <w:szCs w:val="32"/>
          <w:lang w:eastAsia="zh-CN"/>
        </w:rPr>
      </w:pPr>
      <w:r>
        <w:rPr>
          <w:rFonts w:hint="eastAsia" w:ascii="方正黑体_GBK" w:hAnsi="Calibri" w:eastAsia="方正黑体_GBK" w:cs="宋体"/>
          <w:kern w:val="0"/>
          <w:szCs w:val="32"/>
        </w:rPr>
        <w:t>第三章  发展定位与战略布局</w:t>
      </w:r>
      <w:r>
        <w:rPr>
          <w:rFonts w:eastAsia="宋体"/>
          <w:kern w:val="0"/>
          <w:szCs w:val="32"/>
        </w:rPr>
        <w:tab/>
      </w:r>
      <w:r>
        <w:rPr>
          <w:rFonts w:eastAsia="方正仿宋_GBK"/>
          <w:bCs/>
          <w:position w:val="8"/>
          <w:sz w:val="32"/>
          <w:szCs w:val="32"/>
        </w:rPr>
        <w:t>………………………………</w:t>
      </w:r>
      <w:r>
        <w:rPr>
          <w:rFonts w:hint="eastAsia" w:eastAsia="宋体"/>
          <w:kern w:val="0"/>
          <w:szCs w:val="32"/>
          <w:lang w:eastAsia="zh-CN"/>
        </w:rPr>
        <w:t>（</w:t>
      </w:r>
      <w:r>
        <w:rPr>
          <w:rFonts w:hint="eastAsia"/>
          <w:kern w:val="0"/>
          <w:szCs w:val="32"/>
        </w:rPr>
        <w:t>1</w:t>
      </w:r>
      <w:r>
        <w:rPr>
          <w:rFonts w:hint="eastAsia"/>
          <w:kern w:val="0"/>
          <w:szCs w:val="32"/>
          <w:lang w:val="en-US" w:eastAsia="zh-CN"/>
        </w:rPr>
        <w:t>8</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第一节  “枢纽+中心”定位</w:t>
      </w:r>
      <w:r>
        <w:rPr>
          <w:rFonts w:eastAsia="方正仿宋_GBK"/>
          <w:bCs/>
          <w:position w:val="8"/>
          <w:sz w:val="32"/>
          <w:szCs w:val="32"/>
        </w:rPr>
        <w:t>…………………………………</w:t>
      </w:r>
      <w:r>
        <w:rPr>
          <w:rFonts w:hint="eastAsia" w:ascii="方正楷体_GBK" w:hAnsi="Calibri" w:eastAsia="方正楷体_GBK" w:cs="宋体"/>
          <w:kern w:val="0"/>
          <w:szCs w:val="32"/>
          <w:lang w:eastAsia="zh-CN"/>
        </w:rPr>
        <w:t>（</w:t>
      </w:r>
      <w:r>
        <w:rPr>
          <w:rFonts w:hint="eastAsia"/>
          <w:kern w:val="0"/>
          <w:szCs w:val="32"/>
        </w:rPr>
        <w:t>1</w:t>
      </w:r>
      <w:r>
        <w:rPr>
          <w:rFonts w:hint="eastAsia"/>
          <w:kern w:val="0"/>
          <w:szCs w:val="32"/>
          <w:lang w:val="en-US" w:eastAsia="zh-CN"/>
        </w:rPr>
        <w:t>8</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第二节  “1234</w:t>
      </w:r>
      <w:r>
        <w:rPr>
          <w:rFonts w:hint="eastAsia" w:eastAsia="方正楷体_GBK"/>
          <w:kern w:val="0"/>
          <w:szCs w:val="32"/>
        </w:rPr>
        <w:t>”</w:t>
      </w:r>
      <w:r>
        <w:rPr>
          <w:rFonts w:hint="eastAsia" w:ascii="方正楷体_GBK" w:hAnsi="Calibri" w:eastAsia="方正楷体_GBK" w:cs="宋体"/>
          <w:kern w:val="0"/>
          <w:szCs w:val="32"/>
        </w:rPr>
        <w:t>发展战略</w:t>
      </w:r>
      <w:r>
        <w:rPr>
          <w:rFonts w:eastAsia="方正仿宋_GBK"/>
          <w:bCs/>
          <w:position w:val="8"/>
          <w:sz w:val="32"/>
          <w:szCs w:val="32"/>
        </w:rPr>
        <w:t>…………………………………</w:t>
      </w:r>
      <w:r>
        <w:rPr>
          <w:rFonts w:hint="eastAsia" w:ascii="方正楷体_GBK" w:hAnsi="Calibri" w:eastAsia="方正楷体_GBK" w:cs="宋体"/>
          <w:kern w:val="0"/>
          <w:szCs w:val="32"/>
          <w:lang w:eastAsia="zh-CN"/>
        </w:rPr>
        <w:t>（</w:t>
      </w:r>
      <w:r>
        <w:rPr>
          <w:rFonts w:hint="eastAsia"/>
          <w:kern w:val="0"/>
          <w:szCs w:val="32"/>
        </w:rPr>
        <w:t>1</w:t>
      </w:r>
      <w:r>
        <w:rPr>
          <w:rFonts w:hint="eastAsia" w:eastAsia="宋体"/>
          <w:kern w:val="0"/>
          <w:szCs w:val="32"/>
          <w:lang w:val="en-US" w:eastAsia="zh-CN"/>
        </w:rPr>
        <w:t>9</w:t>
      </w:r>
      <w:r>
        <w:rPr>
          <w:rFonts w:hint="eastAsia" w:ascii="方正仿宋_GBK" w:hAnsi="Calibri" w:cs="宋体"/>
          <w:kern w:val="0"/>
          <w:szCs w:val="32"/>
          <w:lang w:eastAsia="zh-CN"/>
        </w:rPr>
        <w:t>）</w:t>
      </w:r>
    </w:p>
    <w:p>
      <w:pPr>
        <w:widowControl w:val="0"/>
        <w:snapToGrid w:val="0"/>
        <w:spacing w:line="276" w:lineRule="auto"/>
        <w:rPr>
          <w:rFonts w:hint="eastAsia" w:eastAsia="方正仿宋_GBK"/>
          <w:kern w:val="0"/>
          <w:szCs w:val="32"/>
          <w:lang w:eastAsia="zh-CN"/>
        </w:rPr>
      </w:pPr>
      <w:r>
        <w:rPr>
          <w:rFonts w:hint="eastAsia" w:ascii="方正黑体_GBK" w:hAnsi="Calibri" w:eastAsia="方正黑体_GBK" w:cs="宋体"/>
          <w:kern w:val="0"/>
          <w:szCs w:val="32"/>
        </w:rPr>
        <w:t>第四章  建设“一个开放高地”</w:t>
      </w:r>
      <w:r>
        <w:rPr>
          <w:rFonts w:eastAsia="方正仿宋_GBK"/>
          <w:bCs/>
          <w:position w:val="8"/>
          <w:sz w:val="32"/>
          <w:szCs w:val="32"/>
        </w:rPr>
        <w:t>………………………………</w:t>
      </w:r>
      <w:r>
        <w:rPr>
          <w:rFonts w:hint="eastAsia" w:ascii="方正黑体_GBK" w:hAnsi="Calibri" w:eastAsia="方正黑体_GBK" w:cs="宋体"/>
          <w:kern w:val="0"/>
          <w:szCs w:val="32"/>
          <w:lang w:eastAsia="zh-CN"/>
        </w:rPr>
        <w:t>（</w:t>
      </w:r>
      <w:r>
        <w:rPr>
          <w:rFonts w:hint="eastAsia" w:eastAsia="宋体"/>
          <w:kern w:val="0"/>
          <w:szCs w:val="32"/>
          <w:lang w:val="en-US" w:eastAsia="zh-CN"/>
        </w:rPr>
        <w:t>20</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第一节  开创金融开放新局面</w:t>
      </w:r>
      <w:r>
        <w:rPr>
          <w:rFonts w:eastAsia="方正仿宋_GBK"/>
          <w:bCs/>
          <w:position w:val="8"/>
          <w:sz w:val="32"/>
          <w:szCs w:val="32"/>
        </w:rPr>
        <w:t>……………………………</w:t>
      </w:r>
      <w:r>
        <w:rPr>
          <w:rFonts w:hint="eastAsia" w:ascii="方正仿宋_GBK" w:hAnsi="Calibri" w:cs="宋体"/>
          <w:kern w:val="0"/>
          <w:szCs w:val="32"/>
          <w:lang w:eastAsia="zh-CN"/>
        </w:rPr>
        <w:t>（</w:t>
      </w:r>
      <w:r>
        <w:rPr>
          <w:rFonts w:hint="eastAsia" w:eastAsia="宋体"/>
          <w:kern w:val="0"/>
          <w:szCs w:val="32"/>
          <w:lang w:val="en-US" w:eastAsia="zh-CN"/>
        </w:rPr>
        <w:t>20</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第二节  强化区域性集聚功能</w:t>
      </w:r>
      <w:r>
        <w:rPr>
          <w:rFonts w:eastAsia="方正仿宋_GBK"/>
          <w:bCs/>
          <w:position w:val="8"/>
          <w:sz w:val="32"/>
          <w:szCs w:val="32"/>
        </w:rPr>
        <w:t>……………………………</w:t>
      </w:r>
      <w:r>
        <w:rPr>
          <w:rFonts w:hint="eastAsia" w:ascii="方正仿宋_GBK" w:hAnsi="Calibri" w:cs="宋体"/>
          <w:kern w:val="0"/>
          <w:szCs w:val="32"/>
          <w:lang w:eastAsia="zh-CN"/>
        </w:rPr>
        <w:t>（</w:t>
      </w:r>
      <w:r>
        <w:rPr>
          <w:rFonts w:hint="eastAsia" w:eastAsia="宋体"/>
          <w:kern w:val="0"/>
          <w:szCs w:val="32"/>
          <w:lang w:val="en-US" w:eastAsia="zh-CN"/>
        </w:rPr>
        <w:t>21</w:t>
      </w:r>
      <w:r>
        <w:rPr>
          <w:rFonts w:hint="eastAsia" w:eastAsia="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第三节  加快跨区域融合发展</w:t>
      </w:r>
      <w:r>
        <w:rPr>
          <w:rFonts w:eastAsia="方正仿宋_GBK"/>
          <w:bCs/>
          <w:position w:val="8"/>
          <w:sz w:val="32"/>
          <w:szCs w:val="32"/>
        </w:rPr>
        <w:t>……………………………</w:t>
      </w:r>
      <w:r>
        <w:rPr>
          <w:rFonts w:hint="eastAsia" w:ascii="方正楷体_GBK" w:hAnsi="Calibri" w:eastAsia="方正楷体_GBK" w:cs="宋体"/>
          <w:kern w:val="0"/>
          <w:szCs w:val="32"/>
          <w:lang w:eastAsia="zh-CN"/>
        </w:rPr>
        <w:t>（</w:t>
      </w:r>
      <w:r>
        <w:rPr>
          <w:rFonts w:hint="eastAsia" w:eastAsia="宋体"/>
          <w:kern w:val="0"/>
          <w:szCs w:val="32"/>
          <w:lang w:val="en-US" w:eastAsia="zh-CN"/>
        </w:rPr>
        <w:t>22</w:t>
      </w:r>
      <w:r>
        <w:rPr>
          <w:rFonts w:hint="eastAsia" w:ascii="方正仿宋_GBK" w:hAnsi="Calibri" w:cs="宋体"/>
          <w:kern w:val="0"/>
          <w:szCs w:val="32"/>
          <w:lang w:eastAsia="zh-CN"/>
        </w:rPr>
        <w:t>）</w:t>
      </w:r>
    </w:p>
    <w:p>
      <w:pPr>
        <w:widowControl w:val="0"/>
        <w:snapToGrid w:val="0"/>
        <w:spacing w:line="276" w:lineRule="auto"/>
        <w:rPr>
          <w:rFonts w:hint="eastAsia" w:eastAsia="方正仿宋_GBK"/>
          <w:kern w:val="0"/>
          <w:szCs w:val="32"/>
          <w:lang w:eastAsia="zh-CN"/>
        </w:rPr>
      </w:pPr>
      <w:r>
        <w:rPr>
          <w:rFonts w:hint="eastAsia" w:ascii="方正黑体_GBK" w:hAnsi="Calibri" w:eastAsia="方正黑体_GBK" w:cs="宋体"/>
          <w:kern w:val="0"/>
          <w:szCs w:val="32"/>
        </w:rPr>
        <w:t>第五章  争创“两大先行试点”</w:t>
      </w:r>
      <w:r>
        <w:rPr>
          <w:rFonts w:eastAsia="方正仿宋_GBK"/>
          <w:bCs/>
          <w:position w:val="8"/>
          <w:sz w:val="32"/>
          <w:szCs w:val="32"/>
        </w:rPr>
        <w:t>……………………………</w:t>
      </w:r>
      <w:r>
        <w:rPr>
          <w:rFonts w:hint="eastAsia" w:ascii="方正黑体_GBK" w:hAnsi="Calibri" w:eastAsia="方正黑体_GBK" w:cs="宋体"/>
          <w:kern w:val="0"/>
          <w:szCs w:val="32"/>
          <w:lang w:eastAsia="zh-CN"/>
        </w:rPr>
        <w:t>（</w:t>
      </w:r>
      <w:r>
        <w:rPr>
          <w:rFonts w:hint="eastAsia" w:ascii="方正黑体_GBK" w:hAnsi="Calibri" w:eastAsia="方正黑体_GBK" w:cs="宋体"/>
          <w:kern w:val="0"/>
          <w:szCs w:val="32"/>
          <w:lang w:val="en-US" w:eastAsia="zh-CN"/>
        </w:rPr>
        <w:t>23</w:t>
      </w:r>
      <w:r>
        <w:rPr>
          <w:rFonts w:hint="eastAsia" w:eastAsia="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第一节  开展产融合作先行试点</w:t>
      </w:r>
      <w:r>
        <w:rPr>
          <w:rFonts w:eastAsia="方正仿宋_GBK"/>
          <w:bCs/>
          <w:position w:val="8"/>
          <w:sz w:val="32"/>
          <w:szCs w:val="32"/>
        </w:rPr>
        <w:t>…………………………</w:t>
      </w:r>
      <w:r>
        <w:rPr>
          <w:rFonts w:hint="eastAsia" w:ascii="方正楷体_GBK" w:hAnsi="Calibri" w:eastAsia="方正楷体_GBK" w:cs="宋体"/>
          <w:kern w:val="0"/>
          <w:szCs w:val="32"/>
          <w:lang w:eastAsia="zh-CN"/>
        </w:rPr>
        <w:t>（</w:t>
      </w:r>
      <w:r>
        <w:rPr>
          <w:rFonts w:hint="eastAsia" w:eastAsia="宋体"/>
          <w:kern w:val="0"/>
          <w:szCs w:val="32"/>
          <w:lang w:val="en-US" w:eastAsia="zh-CN"/>
        </w:rPr>
        <w:t>23</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一、加大“产业集群”金融扶持</w:t>
      </w:r>
      <w:r>
        <w:rPr>
          <w:rFonts w:eastAsia="方正仿宋_GBK"/>
          <w:bCs/>
          <w:position w:val="8"/>
          <w:sz w:val="32"/>
          <w:szCs w:val="32"/>
        </w:rPr>
        <w:t>…………………………</w:t>
      </w:r>
      <w:r>
        <w:rPr>
          <w:rFonts w:hint="eastAsia" w:ascii="方正仿宋_GBK" w:hAnsi="Calibri" w:cs="宋体"/>
          <w:kern w:val="0"/>
          <w:szCs w:val="32"/>
          <w:lang w:eastAsia="zh-CN"/>
        </w:rPr>
        <w:t>（</w:t>
      </w:r>
      <w:r>
        <w:rPr>
          <w:rFonts w:hint="eastAsia" w:eastAsia="宋体"/>
          <w:kern w:val="0"/>
          <w:szCs w:val="32"/>
          <w:lang w:val="en-US" w:eastAsia="zh-CN"/>
        </w:rPr>
        <w:t>23</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二、提高“产、城、景”融资水平</w:t>
      </w:r>
      <w:r>
        <w:rPr>
          <w:rFonts w:eastAsia="方正仿宋_GBK"/>
          <w:bCs/>
          <w:position w:val="8"/>
          <w:sz w:val="32"/>
          <w:szCs w:val="32"/>
        </w:rPr>
        <w:t>………………………</w:t>
      </w:r>
      <w:r>
        <w:rPr>
          <w:rFonts w:hint="eastAsia" w:ascii="方正仿宋_GBK" w:hAnsi="Calibri" w:cs="宋体"/>
          <w:kern w:val="0"/>
          <w:szCs w:val="32"/>
          <w:lang w:eastAsia="zh-CN"/>
        </w:rPr>
        <w:t>（</w:t>
      </w:r>
      <w:r>
        <w:rPr>
          <w:rFonts w:hint="eastAsia" w:eastAsia="宋体"/>
          <w:kern w:val="0"/>
          <w:szCs w:val="32"/>
          <w:lang w:val="en-US" w:eastAsia="zh-CN"/>
        </w:rPr>
        <w:t>25</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三、推动“保险</w:t>
      </w:r>
      <w:r>
        <w:rPr>
          <w:rFonts w:hint="eastAsia"/>
          <w:kern w:val="0"/>
          <w:szCs w:val="32"/>
        </w:rPr>
        <w:t>+</w:t>
      </w:r>
      <w:r>
        <w:rPr>
          <w:rFonts w:hint="eastAsia" w:ascii="方正仿宋_GBK" w:hAnsi="Calibri" w:cs="宋体"/>
          <w:kern w:val="0"/>
          <w:szCs w:val="32"/>
        </w:rPr>
        <w:t>产业”纵深发展</w:t>
      </w:r>
      <w:r>
        <w:rPr>
          <w:rFonts w:eastAsia="方正仿宋_GBK"/>
          <w:bCs/>
          <w:position w:val="8"/>
          <w:sz w:val="32"/>
          <w:szCs w:val="32"/>
        </w:rPr>
        <w:t>………………………</w:t>
      </w:r>
      <w:r>
        <w:rPr>
          <w:rFonts w:hint="eastAsia" w:ascii="方正仿宋_GBK" w:hAnsi="Calibri" w:cs="宋体"/>
          <w:kern w:val="0"/>
          <w:szCs w:val="32"/>
          <w:lang w:eastAsia="zh-CN"/>
        </w:rPr>
        <w:t>（</w:t>
      </w:r>
      <w:r>
        <w:rPr>
          <w:rFonts w:hint="eastAsia" w:eastAsia="宋体"/>
          <w:kern w:val="0"/>
          <w:szCs w:val="32"/>
          <w:lang w:val="en-US" w:eastAsia="zh-CN"/>
        </w:rPr>
        <w:t>26</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第二节  开展金融科技先行试点</w:t>
      </w:r>
      <w:r>
        <w:rPr>
          <w:rFonts w:eastAsia="方正仿宋_GBK"/>
          <w:bCs/>
          <w:position w:val="8"/>
          <w:sz w:val="32"/>
          <w:szCs w:val="32"/>
        </w:rPr>
        <w:t>…………………………</w:t>
      </w:r>
      <w:r>
        <w:rPr>
          <w:rFonts w:hint="eastAsia" w:eastAsia="宋体"/>
          <w:kern w:val="0"/>
          <w:szCs w:val="32"/>
          <w:lang w:eastAsia="zh-CN"/>
        </w:rPr>
        <w:t>（</w:t>
      </w:r>
      <w:r>
        <w:rPr>
          <w:rFonts w:hint="eastAsia" w:eastAsia="宋体"/>
          <w:kern w:val="0"/>
          <w:szCs w:val="32"/>
          <w:lang w:val="en-US" w:eastAsia="zh-CN"/>
        </w:rPr>
        <w:t>28</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一、培育金融科技企业..................................</w:t>
      </w:r>
      <w:r>
        <w:rPr>
          <w:rFonts w:hint="eastAsia" w:ascii="方正楷体_GBK" w:hAnsi="Calibri" w:eastAsia="方正楷体_GBK" w:cs="宋体"/>
          <w:kern w:val="0"/>
          <w:szCs w:val="32"/>
        </w:rPr>
        <w:t>......</w:t>
      </w:r>
      <w:r>
        <w:rPr>
          <w:rFonts w:hint="eastAsia" w:ascii="方正仿宋_GBK" w:hAnsi="Calibri" w:cs="宋体"/>
          <w:kern w:val="0"/>
          <w:szCs w:val="32"/>
        </w:rPr>
        <w:t>.............</w:t>
      </w:r>
      <w:r>
        <w:rPr>
          <w:rFonts w:hint="eastAsia" w:ascii="方正仿宋_GBK" w:hAnsi="Calibri" w:cs="宋体"/>
          <w:kern w:val="0"/>
          <w:szCs w:val="32"/>
          <w:lang w:eastAsia="zh-CN"/>
        </w:rPr>
        <w:t>（</w:t>
      </w:r>
      <w:r>
        <w:rPr>
          <w:rFonts w:hint="eastAsia" w:eastAsia="宋体"/>
          <w:kern w:val="0"/>
          <w:szCs w:val="32"/>
          <w:lang w:val="en-US" w:eastAsia="zh-CN"/>
        </w:rPr>
        <w:t>28</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二、创新金融科技业务...................................</w:t>
      </w:r>
      <w:r>
        <w:rPr>
          <w:rFonts w:hint="eastAsia" w:ascii="方正楷体_GBK" w:hAnsi="Calibri" w:eastAsia="方正楷体_GBK" w:cs="宋体"/>
          <w:kern w:val="0"/>
          <w:szCs w:val="32"/>
        </w:rPr>
        <w:t>......</w:t>
      </w:r>
      <w:r>
        <w:rPr>
          <w:rFonts w:hint="eastAsia" w:ascii="方正仿宋_GBK" w:hAnsi="Calibri" w:cs="宋体"/>
          <w:kern w:val="0"/>
          <w:szCs w:val="32"/>
        </w:rPr>
        <w:t>............</w:t>
      </w:r>
      <w:r>
        <w:rPr>
          <w:rFonts w:hint="eastAsia" w:ascii="方正仿宋_GBK" w:hAnsi="Calibri" w:cs="宋体"/>
          <w:kern w:val="0"/>
          <w:szCs w:val="32"/>
          <w:lang w:eastAsia="zh-CN"/>
        </w:rPr>
        <w:t>（</w:t>
      </w:r>
      <w:r>
        <w:rPr>
          <w:rFonts w:hint="eastAsia" w:eastAsia="宋体"/>
          <w:kern w:val="0"/>
          <w:szCs w:val="32"/>
          <w:lang w:val="en-US" w:eastAsia="zh-CN"/>
        </w:rPr>
        <w:t>29</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三、金融支持科技创新......................................</w:t>
      </w:r>
      <w:r>
        <w:rPr>
          <w:rFonts w:hint="eastAsia" w:ascii="方正楷体_GBK" w:hAnsi="Calibri" w:eastAsia="方正楷体_GBK" w:cs="宋体"/>
          <w:kern w:val="0"/>
          <w:szCs w:val="32"/>
        </w:rPr>
        <w:t>......</w:t>
      </w:r>
      <w:r>
        <w:rPr>
          <w:rFonts w:hint="eastAsia" w:ascii="方正仿宋_GBK" w:hAnsi="Calibri" w:cs="宋体"/>
          <w:kern w:val="0"/>
          <w:szCs w:val="32"/>
        </w:rPr>
        <w:t>.........</w:t>
      </w:r>
      <w:r>
        <w:rPr>
          <w:rFonts w:hint="eastAsia" w:ascii="方正仿宋_GBK" w:hAnsi="Calibri" w:cs="宋体"/>
          <w:kern w:val="0"/>
          <w:szCs w:val="32"/>
          <w:lang w:eastAsia="zh-CN"/>
        </w:rPr>
        <w:t>（</w:t>
      </w:r>
      <w:r>
        <w:rPr>
          <w:rFonts w:hint="eastAsia" w:eastAsia="宋体"/>
          <w:kern w:val="0"/>
          <w:szCs w:val="32"/>
          <w:lang w:val="en-US" w:eastAsia="zh-CN"/>
        </w:rPr>
        <w:t>30</w:t>
      </w:r>
      <w:r>
        <w:rPr>
          <w:rFonts w:hint="eastAsia" w:ascii="方正仿宋_GBK" w:hAnsi="Calibri" w:cs="宋体"/>
          <w:kern w:val="0"/>
          <w:szCs w:val="32"/>
          <w:lang w:eastAsia="zh-CN"/>
        </w:rPr>
        <w:t>）</w:t>
      </w:r>
    </w:p>
    <w:p>
      <w:pPr>
        <w:widowControl w:val="0"/>
        <w:snapToGrid w:val="0"/>
        <w:spacing w:line="276" w:lineRule="auto"/>
        <w:rPr>
          <w:rFonts w:hint="eastAsia" w:eastAsia="方正仿宋_GBK"/>
          <w:kern w:val="0"/>
          <w:szCs w:val="32"/>
          <w:lang w:eastAsia="zh-CN"/>
        </w:rPr>
      </w:pPr>
      <w:r>
        <w:rPr>
          <w:rFonts w:hint="eastAsia" w:ascii="方正黑体_GBK" w:hAnsi="Calibri" w:eastAsia="方正黑体_GBK" w:cs="宋体"/>
          <w:kern w:val="0"/>
          <w:szCs w:val="32"/>
        </w:rPr>
        <w:t>第六章  健全“三大金融体系”................................................</w:t>
      </w:r>
      <w:r>
        <w:rPr>
          <w:rFonts w:hint="eastAsia" w:ascii="方正黑体_GBK" w:hAnsi="Calibri" w:eastAsia="方正黑体_GBK" w:cs="宋体"/>
          <w:kern w:val="0"/>
          <w:szCs w:val="32"/>
          <w:lang w:eastAsia="zh-CN"/>
        </w:rPr>
        <w:t>（</w:t>
      </w:r>
      <w:r>
        <w:rPr>
          <w:rFonts w:hint="eastAsia" w:eastAsia="宋体"/>
          <w:kern w:val="0"/>
          <w:szCs w:val="32"/>
          <w:lang w:val="en-US" w:eastAsia="zh-CN"/>
        </w:rPr>
        <w:t>31</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第一节  深化金融业态体系...................................................</w:t>
      </w:r>
      <w:r>
        <w:rPr>
          <w:rFonts w:hint="eastAsia" w:ascii="方正楷体_GBK" w:hAnsi="Calibri" w:eastAsia="方正楷体_GBK" w:cs="宋体"/>
          <w:kern w:val="0"/>
          <w:szCs w:val="32"/>
          <w:lang w:eastAsia="zh-CN"/>
        </w:rPr>
        <w:t>（</w:t>
      </w:r>
      <w:r>
        <w:rPr>
          <w:rFonts w:hint="eastAsia" w:eastAsia="宋体"/>
          <w:kern w:val="0"/>
          <w:szCs w:val="32"/>
          <w:lang w:val="en-US" w:eastAsia="zh-CN"/>
        </w:rPr>
        <w:t>31</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一、壮大传统金融业规模..............................</w:t>
      </w:r>
      <w:r>
        <w:rPr>
          <w:rFonts w:hint="eastAsia" w:ascii="方正楷体_GBK" w:hAnsi="Calibri" w:eastAsia="方正楷体_GBK" w:cs="宋体"/>
          <w:kern w:val="0"/>
          <w:szCs w:val="32"/>
        </w:rPr>
        <w:t>......</w:t>
      </w:r>
      <w:r>
        <w:rPr>
          <w:rFonts w:hint="eastAsia" w:ascii="方正仿宋_GBK" w:hAnsi="Calibri" w:cs="宋体"/>
          <w:kern w:val="0"/>
          <w:szCs w:val="32"/>
        </w:rPr>
        <w:t>.............</w:t>
      </w:r>
      <w:r>
        <w:rPr>
          <w:rFonts w:hint="eastAsia" w:ascii="方正仿宋_GBK" w:hAnsi="Calibri" w:cs="宋体"/>
          <w:kern w:val="0"/>
          <w:szCs w:val="32"/>
          <w:lang w:eastAsia="zh-CN"/>
        </w:rPr>
        <w:t>（</w:t>
      </w:r>
      <w:r>
        <w:rPr>
          <w:rFonts w:hint="eastAsia" w:eastAsia="宋体"/>
          <w:kern w:val="0"/>
          <w:szCs w:val="32"/>
          <w:lang w:val="en-US" w:eastAsia="zh-CN"/>
        </w:rPr>
        <w:t>32</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二、完善新型金融业态主体.......................</w:t>
      </w:r>
      <w:r>
        <w:rPr>
          <w:rFonts w:hint="eastAsia" w:ascii="方正楷体_GBK" w:hAnsi="Calibri" w:eastAsia="方正楷体_GBK" w:cs="宋体"/>
          <w:kern w:val="0"/>
          <w:szCs w:val="32"/>
        </w:rPr>
        <w:t>......</w:t>
      </w:r>
      <w:r>
        <w:rPr>
          <w:rFonts w:hint="eastAsia" w:ascii="方正仿宋_GBK" w:hAnsi="Calibri" w:cs="宋体"/>
          <w:kern w:val="0"/>
          <w:szCs w:val="32"/>
        </w:rPr>
        <w:t>................</w:t>
      </w:r>
      <w:r>
        <w:rPr>
          <w:rFonts w:hint="eastAsia" w:ascii="方正仿宋_GBK" w:hAnsi="Calibri" w:cs="宋体"/>
          <w:kern w:val="0"/>
          <w:szCs w:val="32"/>
          <w:lang w:eastAsia="zh-CN"/>
        </w:rPr>
        <w:t>（</w:t>
      </w:r>
      <w:r>
        <w:rPr>
          <w:rFonts w:hint="eastAsia" w:eastAsia="宋体"/>
          <w:kern w:val="0"/>
          <w:szCs w:val="32"/>
          <w:lang w:val="en-US" w:eastAsia="zh-CN"/>
        </w:rPr>
        <w:t>32</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三、丰富金融业中介机构........................</w:t>
      </w:r>
      <w:r>
        <w:rPr>
          <w:rFonts w:hint="eastAsia" w:ascii="方正楷体_GBK" w:hAnsi="Calibri" w:eastAsia="方正楷体_GBK" w:cs="宋体"/>
          <w:kern w:val="0"/>
          <w:szCs w:val="32"/>
        </w:rPr>
        <w:t>......</w:t>
      </w:r>
      <w:r>
        <w:rPr>
          <w:rFonts w:hint="eastAsia" w:ascii="方正仿宋_GBK" w:hAnsi="Calibri" w:cs="宋体"/>
          <w:kern w:val="0"/>
          <w:szCs w:val="32"/>
        </w:rPr>
        <w:t>...................</w:t>
      </w:r>
      <w:r>
        <w:rPr>
          <w:rFonts w:hint="eastAsia" w:ascii="方正仿宋_GBK" w:hAnsi="Calibri" w:cs="宋体"/>
          <w:kern w:val="0"/>
          <w:szCs w:val="32"/>
          <w:lang w:eastAsia="zh-CN"/>
        </w:rPr>
        <w:t>（</w:t>
      </w:r>
      <w:r>
        <w:rPr>
          <w:rFonts w:hint="eastAsia" w:eastAsia="宋体"/>
          <w:kern w:val="0"/>
          <w:szCs w:val="32"/>
          <w:lang w:val="en-US" w:eastAsia="zh-CN"/>
        </w:rPr>
        <w:t>33</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第二节  强化金融功能体系...................................................</w:t>
      </w:r>
      <w:r>
        <w:rPr>
          <w:rFonts w:hint="eastAsia" w:ascii="方正楷体_GBK" w:hAnsi="Calibri" w:eastAsia="方正楷体_GBK" w:cs="宋体"/>
          <w:kern w:val="0"/>
          <w:szCs w:val="32"/>
          <w:lang w:eastAsia="zh-CN"/>
        </w:rPr>
        <w:t>（</w:t>
      </w:r>
      <w:r>
        <w:rPr>
          <w:rFonts w:hint="eastAsia" w:eastAsia="宋体"/>
          <w:kern w:val="0"/>
          <w:szCs w:val="32"/>
          <w:lang w:val="en-US" w:eastAsia="zh-CN"/>
        </w:rPr>
        <w:t>33</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一、强化资金融通功能.............................</w:t>
      </w:r>
      <w:r>
        <w:rPr>
          <w:rFonts w:hint="eastAsia" w:ascii="方正楷体_GBK" w:hAnsi="Calibri" w:eastAsia="方正楷体_GBK" w:cs="宋体"/>
          <w:kern w:val="0"/>
          <w:szCs w:val="32"/>
        </w:rPr>
        <w:t>........</w:t>
      </w:r>
      <w:r>
        <w:rPr>
          <w:rFonts w:hint="eastAsia" w:ascii="方正仿宋_GBK" w:hAnsi="Calibri" w:cs="宋体"/>
          <w:kern w:val="0"/>
          <w:szCs w:val="32"/>
        </w:rPr>
        <w:t>................</w:t>
      </w:r>
      <w:r>
        <w:rPr>
          <w:rFonts w:hint="eastAsia" w:ascii="方正仿宋_GBK" w:hAnsi="Calibri" w:cs="宋体"/>
          <w:kern w:val="0"/>
          <w:szCs w:val="32"/>
          <w:lang w:eastAsia="zh-CN"/>
        </w:rPr>
        <w:t>（</w:t>
      </w:r>
      <w:r>
        <w:rPr>
          <w:rFonts w:hint="eastAsia" w:eastAsia="宋体"/>
          <w:kern w:val="0"/>
          <w:szCs w:val="32"/>
          <w:lang w:val="en-US" w:eastAsia="zh-CN"/>
        </w:rPr>
        <w:t>34</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二、强化支付结算功能.........................</w:t>
      </w:r>
      <w:r>
        <w:rPr>
          <w:rFonts w:hint="eastAsia" w:ascii="方正楷体_GBK" w:hAnsi="Calibri" w:eastAsia="方正楷体_GBK" w:cs="宋体"/>
          <w:kern w:val="0"/>
          <w:szCs w:val="32"/>
        </w:rPr>
        <w:t>......</w:t>
      </w:r>
      <w:r>
        <w:rPr>
          <w:rFonts w:hint="eastAsia" w:ascii="方正仿宋_GBK" w:hAnsi="Calibri" w:cs="宋体"/>
          <w:kern w:val="0"/>
          <w:szCs w:val="32"/>
        </w:rPr>
        <w:t>...</w:t>
      </w:r>
      <w:r>
        <w:rPr>
          <w:rFonts w:hint="eastAsia" w:ascii="方正楷体_GBK" w:hAnsi="Calibri" w:eastAsia="方正楷体_GBK" w:cs="宋体"/>
          <w:kern w:val="0"/>
          <w:szCs w:val="32"/>
        </w:rPr>
        <w:t>..</w:t>
      </w:r>
      <w:r>
        <w:rPr>
          <w:rFonts w:hint="eastAsia" w:ascii="方正仿宋_GBK" w:hAnsi="Calibri" w:cs="宋体"/>
          <w:kern w:val="0"/>
          <w:szCs w:val="32"/>
        </w:rPr>
        <w:t>.................</w:t>
      </w:r>
      <w:r>
        <w:rPr>
          <w:rFonts w:hint="eastAsia" w:ascii="方正仿宋_GBK" w:hAnsi="Calibri" w:cs="宋体"/>
          <w:kern w:val="0"/>
          <w:szCs w:val="32"/>
          <w:lang w:eastAsia="zh-CN"/>
        </w:rPr>
        <w:t>（</w:t>
      </w:r>
      <w:r>
        <w:rPr>
          <w:rFonts w:hint="eastAsia" w:eastAsia="宋体"/>
          <w:kern w:val="0"/>
          <w:szCs w:val="32"/>
          <w:lang w:val="en-US" w:eastAsia="zh-CN"/>
        </w:rPr>
        <w:t>35</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三、强化保险保障功能.......................</w:t>
      </w:r>
      <w:r>
        <w:rPr>
          <w:rFonts w:hint="eastAsia" w:ascii="方正楷体_GBK" w:hAnsi="Calibri" w:eastAsia="方正楷体_GBK" w:cs="宋体"/>
          <w:kern w:val="0"/>
          <w:szCs w:val="32"/>
        </w:rPr>
        <w:t>.....</w:t>
      </w:r>
      <w:r>
        <w:rPr>
          <w:rFonts w:hint="eastAsia" w:ascii="方正仿宋_GBK" w:hAnsi="Calibri" w:cs="宋体"/>
          <w:kern w:val="0"/>
          <w:szCs w:val="32"/>
        </w:rPr>
        <w:t>.....</w:t>
      </w:r>
      <w:r>
        <w:rPr>
          <w:rFonts w:hint="eastAsia" w:ascii="方正楷体_GBK" w:hAnsi="Calibri" w:eastAsia="方正楷体_GBK" w:cs="宋体"/>
          <w:kern w:val="0"/>
          <w:szCs w:val="32"/>
        </w:rPr>
        <w:t>..</w:t>
      </w:r>
      <w:r>
        <w:rPr>
          <w:rFonts w:hint="eastAsia" w:ascii="方正仿宋_GBK" w:hAnsi="Calibri" w:cs="宋体"/>
          <w:kern w:val="0"/>
          <w:szCs w:val="32"/>
        </w:rPr>
        <w:t>..................</w:t>
      </w:r>
      <w:r>
        <w:rPr>
          <w:rFonts w:hint="eastAsia" w:ascii="方正仿宋_GBK" w:hAnsi="Calibri" w:cs="宋体"/>
          <w:kern w:val="0"/>
          <w:szCs w:val="32"/>
          <w:lang w:eastAsia="zh-CN"/>
        </w:rPr>
        <w:t>（</w:t>
      </w:r>
      <w:r>
        <w:rPr>
          <w:rFonts w:hint="eastAsia" w:eastAsia="宋体"/>
          <w:kern w:val="0"/>
          <w:szCs w:val="32"/>
          <w:lang w:val="en-US" w:eastAsia="zh-CN"/>
        </w:rPr>
        <w:t>36</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第三节  优化金融服务体系...................................................</w:t>
      </w:r>
      <w:r>
        <w:rPr>
          <w:rFonts w:hint="eastAsia" w:ascii="方正楷体_GBK" w:hAnsi="Calibri" w:eastAsia="方正楷体_GBK" w:cs="宋体"/>
          <w:kern w:val="0"/>
          <w:szCs w:val="32"/>
          <w:lang w:eastAsia="zh-CN"/>
        </w:rPr>
        <w:t>（</w:t>
      </w:r>
      <w:r>
        <w:rPr>
          <w:rFonts w:hint="eastAsia" w:eastAsia="宋体"/>
          <w:kern w:val="0"/>
          <w:szCs w:val="32"/>
          <w:lang w:val="en-US" w:eastAsia="zh-CN"/>
        </w:rPr>
        <w:t>38</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一、做优金融后台服务....................</w:t>
      </w:r>
      <w:r>
        <w:rPr>
          <w:rFonts w:hint="eastAsia" w:ascii="方正楷体_GBK" w:hAnsi="Calibri" w:eastAsia="方正楷体_GBK" w:cs="宋体"/>
          <w:kern w:val="0"/>
          <w:szCs w:val="32"/>
        </w:rPr>
        <w:t>.....</w:t>
      </w:r>
      <w:r>
        <w:rPr>
          <w:rFonts w:hint="eastAsia" w:ascii="方正仿宋_GBK" w:hAnsi="Calibri" w:cs="宋体"/>
          <w:kern w:val="0"/>
          <w:szCs w:val="32"/>
        </w:rPr>
        <w:t>.........</w:t>
      </w:r>
      <w:r>
        <w:rPr>
          <w:rFonts w:hint="eastAsia" w:ascii="方正楷体_GBK" w:hAnsi="Calibri" w:eastAsia="方正楷体_GBK" w:cs="宋体"/>
          <w:kern w:val="0"/>
          <w:szCs w:val="32"/>
        </w:rPr>
        <w:t>..</w:t>
      </w:r>
      <w:r>
        <w:rPr>
          <w:rFonts w:hint="eastAsia" w:ascii="方正仿宋_GBK" w:hAnsi="Calibri" w:cs="宋体"/>
          <w:kern w:val="0"/>
          <w:szCs w:val="32"/>
        </w:rPr>
        <w:t>.................</w:t>
      </w:r>
      <w:r>
        <w:rPr>
          <w:rFonts w:hint="eastAsia" w:ascii="方正仿宋_GBK" w:hAnsi="Calibri" w:cs="宋体"/>
          <w:kern w:val="0"/>
          <w:szCs w:val="32"/>
          <w:lang w:eastAsia="zh-CN"/>
        </w:rPr>
        <w:t>（</w:t>
      </w:r>
      <w:r>
        <w:rPr>
          <w:rFonts w:hint="eastAsia"/>
          <w:kern w:val="0"/>
          <w:szCs w:val="32"/>
          <w:lang w:val="en-US" w:eastAsia="zh-CN"/>
        </w:rPr>
        <w:t>38</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二、做精专业平台服务................</w:t>
      </w:r>
      <w:r>
        <w:rPr>
          <w:rFonts w:hint="eastAsia" w:ascii="方正楷体_GBK" w:hAnsi="Calibri" w:eastAsia="方正楷体_GBK" w:cs="宋体"/>
          <w:kern w:val="0"/>
          <w:szCs w:val="32"/>
        </w:rPr>
        <w:t>.....</w:t>
      </w:r>
      <w:r>
        <w:rPr>
          <w:rFonts w:hint="eastAsia" w:ascii="方正仿宋_GBK" w:hAnsi="Calibri" w:cs="宋体"/>
          <w:kern w:val="0"/>
          <w:szCs w:val="32"/>
        </w:rPr>
        <w:t>.............</w:t>
      </w:r>
      <w:r>
        <w:rPr>
          <w:rFonts w:hint="eastAsia" w:ascii="方正楷体_GBK" w:hAnsi="Calibri" w:eastAsia="方正楷体_GBK" w:cs="宋体"/>
          <w:kern w:val="0"/>
          <w:szCs w:val="32"/>
        </w:rPr>
        <w:t>..</w:t>
      </w:r>
      <w:r>
        <w:rPr>
          <w:rFonts w:hint="eastAsia" w:ascii="方正仿宋_GBK" w:hAnsi="Calibri" w:cs="宋体"/>
          <w:kern w:val="0"/>
          <w:szCs w:val="32"/>
        </w:rPr>
        <w:t>.................</w:t>
      </w:r>
      <w:r>
        <w:rPr>
          <w:rFonts w:hint="eastAsia" w:ascii="方正仿宋_GBK" w:hAnsi="Calibri" w:cs="宋体"/>
          <w:kern w:val="0"/>
          <w:szCs w:val="32"/>
          <w:lang w:eastAsia="zh-CN"/>
        </w:rPr>
        <w:t>（</w:t>
      </w:r>
      <w:r>
        <w:rPr>
          <w:rFonts w:hint="eastAsia" w:eastAsia="宋体"/>
          <w:kern w:val="0"/>
          <w:szCs w:val="32"/>
          <w:lang w:val="en-US" w:eastAsia="zh-CN"/>
        </w:rPr>
        <w:t>39</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三、做</w:t>
      </w:r>
      <w:r>
        <w:rPr>
          <w:rFonts w:hint="eastAsia" w:ascii="方正仿宋_GBK" w:hAnsi="Calibri" w:cs="宋体"/>
          <w:kern w:val="0"/>
          <w:szCs w:val="32"/>
          <w:lang w:val="en-US" w:eastAsia="zh-CN"/>
        </w:rPr>
        <w:t>深</w:t>
      </w:r>
      <w:r>
        <w:rPr>
          <w:rFonts w:hint="eastAsia" w:ascii="方正仿宋_GBK" w:hAnsi="Calibri" w:cs="宋体"/>
          <w:kern w:val="0"/>
          <w:szCs w:val="32"/>
        </w:rPr>
        <w:t>金融人才服务..................</w:t>
      </w:r>
      <w:r>
        <w:rPr>
          <w:rFonts w:hint="eastAsia" w:ascii="方正楷体_GBK" w:hAnsi="Calibri" w:eastAsia="方正楷体_GBK" w:cs="宋体"/>
          <w:kern w:val="0"/>
          <w:szCs w:val="32"/>
        </w:rPr>
        <w:t>..</w:t>
      </w:r>
      <w:r>
        <w:rPr>
          <w:rFonts w:hint="eastAsia" w:ascii="方正仿宋_GBK" w:hAnsi="Calibri" w:cs="宋体"/>
          <w:kern w:val="0"/>
          <w:szCs w:val="32"/>
        </w:rPr>
        <w:t>..........</w:t>
      </w:r>
      <w:r>
        <w:rPr>
          <w:rFonts w:hint="eastAsia" w:ascii="方正楷体_GBK" w:hAnsi="Calibri" w:eastAsia="方正楷体_GBK" w:cs="宋体"/>
          <w:kern w:val="0"/>
          <w:szCs w:val="32"/>
        </w:rPr>
        <w:t>..</w:t>
      </w:r>
      <w:r>
        <w:rPr>
          <w:rFonts w:hint="eastAsia" w:ascii="方正仿宋_GBK" w:hAnsi="Calibri" w:cs="宋体"/>
          <w:kern w:val="0"/>
          <w:szCs w:val="32"/>
        </w:rPr>
        <w:t>.....................</w:t>
      </w:r>
      <w:r>
        <w:rPr>
          <w:rFonts w:hint="eastAsia" w:ascii="方正仿宋_GBK" w:hAnsi="Calibri" w:cs="宋体"/>
          <w:kern w:val="0"/>
          <w:szCs w:val="32"/>
          <w:lang w:eastAsia="zh-CN"/>
        </w:rPr>
        <w:t>（</w:t>
      </w:r>
      <w:r>
        <w:rPr>
          <w:rFonts w:hint="eastAsia"/>
          <w:kern w:val="0"/>
          <w:szCs w:val="32"/>
          <w:lang w:val="en-US" w:eastAsia="zh-CN"/>
        </w:rPr>
        <w:t>40</w:t>
      </w:r>
      <w:r>
        <w:rPr>
          <w:rFonts w:hint="eastAsia" w:ascii="方正仿宋_GBK" w:hAnsi="Calibri" w:cs="宋体"/>
          <w:kern w:val="0"/>
          <w:szCs w:val="32"/>
          <w:lang w:eastAsia="zh-CN"/>
        </w:rPr>
        <w:t>）</w:t>
      </w:r>
    </w:p>
    <w:p>
      <w:pPr>
        <w:widowControl w:val="0"/>
        <w:snapToGrid w:val="0"/>
        <w:spacing w:line="276" w:lineRule="auto"/>
        <w:rPr>
          <w:rFonts w:hint="eastAsia" w:eastAsia="方正仿宋_GBK"/>
          <w:kern w:val="0"/>
          <w:szCs w:val="32"/>
          <w:lang w:eastAsia="zh-CN"/>
        </w:rPr>
      </w:pPr>
      <w:r>
        <w:rPr>
          <w:rFonts w:hint="eastAsia" w:ascii="方正黑体_GBK" w:hAnsi="Calibri" w:eastAsia="方正黑体_GBK" w:cs="宋体"/>
          <w:kern w:val="0"/>
          <w:szCs w:val="32"/>
        </w:rPr>
        <w:t>第七章  开展“四大创新示范”</w:t>
      </w:r>
      <w:r>
        <w:rPr>
          <w:rFonts w:eastAsia="方正仿宋_GBK"/>
          <w:bCs/>
          <w:position w:val="8"/>
          <w:sz w:val="32"/>
          <w:szCs w:val="32"/>
        </w:rPr>
        <w:t>………………………………</w:t>
      </w:r>
      <w:r>
        <w:rPr>
          <w:rFonts w:hint="eastAsia" w:ascii="方正黑体_GBK" w:hAnsi="Calibri" w:eastAsia="方正黑体_GBK" w:cs="宋体"/>
          <w:kern w:val="0"/>
          <w:szCs w:val="32"/>
          <w:lang w:eastAsia="zh-CN"/>
        </w:rPr>
        <w:t>（</w:t>
      </w:r>
      <w:r>
        <w:rPr>
          <w:rFonts w:hint="eastAsia" w:eastAsia="宋体"/>
          <w:kern w:val="0"/>
          <w:szCs w:val="32"/>
          <w:lang w:val="en-US" w:eastAsia="zh-CN"/>
        </w:rPr>
        <w:t>42</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第一节  建设供应链金融创新示范区</w:t>
      </w:r>
      <w:r>
        <w:rPr>
          <w:rFonts w:eastAsia="方正仿宋_GBK"/>
          <w:bCs/>
          <w:position w:val="8"/>
          <w:sz w:val="32"/>
          <w:szCs w:val="32"/>
        </w:rPr>
        <w:t>……………………</w:t>
      </w:r>
      <w:r>
        <w:rPr>
          <w:rFonts w:hint="eastAsia" w:ascii="方正楷体_GBK" w:hAnsi="Calibri" w:eastAsia="方正楷体_GBK" w:cs="宋体"/>
          <w:kern w:val="0"/>
          <w:szCs w:val="32"/>
          <w:lang w:eastAsia="zh-CN"/>
        </w:rPr>
        <w:t>（</w:t>
      </w:r>
      <w:r>
        <w:rPr>
          <w:rFonts w:hint="eastAsia" w:eastAsia="宋体"/>
          <w:kern w:val="0"/>
          <w:szCs w:val="32"/>
          <w:lang w:val="en-US" w:eastAsia="zh-CN"/>
        </w:rPr>
        <w:t>42</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一、培育供应链金融专业机构</w:t>
      </w:r>
      <w:r>
        <w:rPr>
          <w:rFonts w:eastAsia="方正仿宋_GBK"/>
          <w:bCs/>
          <w:position w:val="8"/>
          <w:sz w:val="32"/>
          <w:szCs w:val="32"/>
        </w:rPr>
        <w:t>…………………………</w:t>
      </w:r>
      <w:r>
        <w:rPr>
          <w:rFonts w:hint="eastAsia" w:ascii="方正仿宋_GBK" w:hAnsi="Calibri" w:cs="宋体"/>
          <w:kern w:val="0"/>
          <w:szCs w:val="32"/>
          <w:lang w:eastAsia="zh-CN"/>
        </w:rPr>
        <w:t>（</w:t>
      </w:r>
      <w:r>
        <w:rPr>
          <w:rFonts w:hint="eastAsia" w:eastAsia="宋体"/>
          <w:kern w:val="0"/>
          <w:szCs w:val="32"/>
          <w:lang w:val="en-US" w:eastAsia="zh-CN"/>
        </w:rPr>
        <w:t>42</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二、创新供应链金融业务模式</w:t>
      </w:r>
      <w:r>
        <w:rPr>
          <w:rFonts w:eastAsia="方正仿宋_GBK"/>
          <w:bCs/>
          <w:position w:val="8"/>
          <w:sz w:val="32"/>
          <w:szCs w:val="32"/>
        </w:rPr>
        <w:t>…………………………</w:t>
      </w:r>
      <w:r>
        <w:rPr>
          <w:rFonts w:hint="eastAsia" w:ascii="方正仿宋_GBK" w:hAnsi="Calibri" w:cs="宋体"/>
          <w:kern w:val="0"/>
          <w:szCs w:val="32"/>
          <w:lang w:eastAsia="zh-CN"/>
        </w:rPr>
        <w:t>（</w:t>
      </w:r>
      <w:r>
        <w:rPr>
          <w:rFonts w:hint="eastAsia"/>
          <w:kern w:val="0"/>
          <w:szCs w:val="32"/>
          <w:lang w:val="en-US" w:eastAsia="zh-CN"/>
        </w:rPr>
        <w:t>43</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三、扩大供应链金融市场需求</w:t>
      </w:r>
      <w:r>
        <w:rPr>
          <w:rFonts w:eastAsia="方正仿宋_GBK"/>
          <w:bCs/>
          <w:position w:val="8"/>
          <w:sz w:val="32"/>
          <w:szCs w:val="32"/>
        </w:rPr>
        <w:t>…………………………</w:t>
      </w:r>
      <w:r>
        <w:rPr>
          <w:rFonts w:hint="eastAsia" w:ascii="方正仿宋_GBK" w:hAnsi="Calibri" w:cs="宋体"/>
          <w:kern w:val="0"/>
          <w:szCs w:val="32"/>
          <w:lang w:eastAsia="zh-CN"/>
        </w:rPr>
        <w:t>（</w:t>
      </w:r>
      <w:r>
        <w:rPr>
          <w:rFonts w:hint="eastAsia" w:eastAsia="宋体"/>
          <w:kern w:val="0"/>
          <w:szCs w:val="32"/>
          <w:lang w:val="en-US" w:eastAsia="zh-CN"/>
        </w:rPr>
        <w:t>44</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第二节  建设绿色金融创新示范区</w:t>
      </w:r>
      <w:r>
        <w:rPr>
          <w:rFonts w:eastAsia="方正仿宋_GBK"/>
          <w:bCs/>
          <w:position w:val="8"/>
          <w:sz w:val="32"/>
          <w:szCs w:val="32"/>
        </w:rPr>
        <w:t>………………………</w:t>
      </w:r>
      <w:r>
        <w:rPr>
          <w:rFonts w:hint="eastAsia" w:ascii="方正楷体_GBK" w:hAnsi="Calibri" w:eastAsia="方正楷体_GBK" w:cs="宋体"/>
          <w:kern w:val="0"/>
          <w:szCs w:val="32"/>
          <w:lang w:eastAsia="zh-CN"/>
        </w:rPr>
        <w:t>（</w:t>
      </w:r>
      <w:r>
        <w:rPr>
          <w:rFonts w:hint="eastAsia" w:eastAsia="宋体"/>
          <w:kern w:val="0"/>
          <w:szCs w:val="32"/>
          <w:lang w:val="en-US" w:eastAsia="zh-CN"/>
        </w:rPr>
        <w:t>44</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一、完善绿色金融机构组织体系</w:t>
      </w:r>
      <w:r>
        <w:rPr>
          <w:rFonts w:eastAsia="方正仿宋_GBK"/>
          <w:bCs/>
          <w:position w:val="8"/>
          <w:sz w:val="32"/>
          <w:szCs w:val="32"/>
        </w:rPr>
        <w:t>………………………</w:t>
      </w:r>
      <w:r>
        <w:rPr>
          <w:rFonts w:hint="eastAsia" w:ascii="方正仿宋_GBK" w:hAnsi="Calibri" w:cs="宋体"/>
          <w:kern w:val="0"/>
          <w:szCs w:val="32"/>
          <w:lang w:eastAsia="zh-CN"/>
        </w:rPr>
        <w:t>（</w:t>
      </w:r>
      <w:r>
        <w:rPr>
          <w:rFonts w:hint="eastAsia" w:eastAsia="宋体"/>
          <w:kern w:val="0"/>
          <w:szCs w:val="32"/>
          <w:lang w:val="en-US" w:eastAsia="zh-CN"/>
        </w:rPr>
        <w:t>45</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二、鼓励绿色金融产品服务创新</w:t>
      </w:r>
      <w:r>
        <w:rPr>
          <w:rFonts w:eastAsia="方正仿宋_GBK"/>
          <w:bCs/>
          <w:position w:val="8"/>
          <w:sz w:val="32"/>
          <w:szCs w:val="32"/>
        </w:rPr>
        <w:t>………………………</w:t>
      </w:r>
      <w:r>
        <w:rPr>
          <w:rFonts w:hint="eastAsia" w:ascii="方正仿宋_GBK" w:hAnsi="Calibri" w:cs="宋体"/>
          <w:kern w:val="0"/>
          <w:szCs w:val="32"/>
          <w:lang w:eastAsia="zh-CN"/>
        </w:rPr>
        <w:t>（</w:t>
      </w:r>
      <w:r>
        <w:rPr>
          <w:rFonts w:hint="eastAsia" w:eastAsia="宋体"/>
          <w:kern w:val="0"/>
          <w:szCs w:val="32"/>
          <w:lang w:val="en-US" w:eastAsia="zh-CN"/>
        </w:rPr>
        <w:t>45</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三、推进绿色金融基础设施建设</w:t>
      </w:r>
      <w:r>
        <w:rPr>
          <w:rFonts w:eastAsia="方正仿宋_GBK"/>
          <w:bCs/>
          <w:position w:val="8"/>
          <w:sz w:val="32"/>
          <w:szCs w:val="32"/>
        </w:rPr>
        <w:t>………………………</w:t>
      </w:r>
      <w:r>
        <w:rPr>
          <w:rFonts w:hint="eastAsia" w:ascii="方正仿宋_GBK" w:hAnsi="Calibri" w:cs="宋体"/>
          <w:kern w:val="0"/>
          <w:szCs w:val="32"/>
          <w:lang w:eastAsia="zh-CN"/>
        </w:rPr>
        <w:t>（</w:t>
      </w:r>
      <w:r>
        <w:rPr>
          <w:rFonts w:hint="eastAsia" w:eastAsia="宋体"/>
          <w:kern w:val="0"/>
          <w:szCs w:val="32"/>
          <w:lang w:val="en-US" w:eastAsia="zh-CN"/>
        </w:rPr>
        <w:t>46</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第三节  建设文旅金融创新示范区</w:t>
      </w:r>
      <w:r>
        <w:rPr>
          <w:rFonts w:eastAsia="方正仿宋_GBK"/>
          <w:bCs/>
          <w:position w:val="8"/>
          <w:sz w:val="32"/>
          <w:szCs w:val="32"/>
        </w:rPr>
        <w:t>………………………</w:t>
      </w:r>
      <w:r>
        <w:rPr>
          <w:rFonts w:hint="eastAsia" w:ascii="方正楷体_GBK" w:hAnsi="Calibri" w:eastAsia="方正楷体_GBK" w:cs="宋体"/>
          <w:kern w:val="0"/>
          <w:szCs w:val="32"/>
          <w:lang w:eastAsia="zh-CN"/>
        </w:rPr>
        <w:t>（</w:t>
      </w:r>
      <w:r>
        <w:rPr>
          <w:rFonts w:hint="eastAsia"/>
          <w:kern w:val="0"/>
          <w:szCs w:val="32"/>
          <w:lang w:val="en-US" w:eastAsia="zh-CN"/>
        </w:rPr>
        <w:t>47</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一、打造凤凰湖文旅基金公园</w:t>
      </w:r>
      <w:r>
        <w:rPr>
          <w:rFonts w:eastAsia="方正仿宋_GBK"/>
          <w:bCs/>
          <w:position w:val="8"/>
          <w:sz w:val="32"/>
          <w:szCs w:val="32"/>
        </w:rPr>
        <w:t>…………………………</w:t>
      </w:r>
      <w:r>
        <w:rPr>
          <w:rFonts w:hint="eastAsia" w:ascii="方正仿宋_GBK" w:hAnsi="Calibri" w:cs="宋体"/>
          <w:kern w:val="0"/>
          <w:szCs w:val="32"/>
          <w:lang w:eastAsia="zh-CN"/>
        </w:rPr>
        <w:t>（</w:t>
      </w:r>
      <w:r>
        <w:rPr>
          <w:rFonts w:hint="eastAsia" w:eastAsia="宋体"/>
          <w:kern w:val="0"/>
          <w:szCs w:val="32"/>
          <w:lang w:val="en-US" w:eastAsia="zh-CN"/>
        </w:rPr>
        <w:t>47</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ascii="方正仿宋_GBK" w:hAnsi="Calibri" w:cs="宋体"/>
          <w:kern w:val="0"/>
          <w:szCs w:val="32"/>
        </w:rPr>
      </w:pPr>
      <w:r>
        <w:rPr>
          <w:rFonts w:hint="eastAsia" w:ascii="方正仿宋_GBK" w:hAnsi="Calibri" w:cs="宋体"/>
          <w:kern w:val="0"/>
          <w:szCs w:val="32"/>
        </w:rPr>
        <w:t>二、拓宽文旅项目融资渠道……………………………（4</w:t>
      </w:r>
      <w:r>
        <w:rPr>
          <w:rFonts w:hint="eastAsia" w:ascii="方正仿宋_GBK" w:hAnsi="Calibri" w:cs="宋体"/>
          <w:kern w:val="0"/>
          <w:szCs w:val="32"/>
          <w:lang w:val="en-US" w:eastAsia="zh-CN"/>
        </w:rPr>
        <w:t>8</w:t>
      </w:r>
      <w:r>
        <w:rPr>
          <w:rFonts w:hint="eastAsia" w:ascii="方正仿宋_GBK" w:hAnsi="Calibri" w:cs="宋体"/>
          <w:kern w:val="0"/>
          <w:szCs w:val="32"/>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三、创新文旅金融产品服务</w:t>
      </w:r>
      <w:r>
        <w:rPr>
          <w:rFonts w:eastAsia="方正仿宋_GBK"/>
          <w:bCs/>
          <w:position w:val="8"/>
          <w:sz w:val="32"/>
          <w:szCs w:val="32"/>
        </w:rPr>
        <w:t>……………………………</w:t>
      </w:r>
      <w:r>
        <w:rPr>
          <w:rFonts w:hint="eastAsia" w:ascii="方正仿宋_GBK" w:hAnsi="Calibri" w:cs="宋体"/>
          <w:kern w:val="0"/>
          <w:szCs w:val="32"/>
          <w:lang w:eastAsia="zh-CN"/>
        </w:rPr>
        <w:t>（</w:t>
      </w:r>
      <w:r>
        <w:rPr>
          <w:rFonts w:hint="eastAsia"/>
          <w:kern w:val="0"/>
          <w:szCs w:val="32"/>
        </w:rPr>
        <w:t>4</w:t>
      </w:r>
      <w:r>
        <w:rPr>
          <w:rFonts w:hint="eastAsia"/>
          <w:kern w:val="0"/>
          <w:szCs w:val="32"/>
          <w:lang w:val="en-US" w:eastAsia="zh-CN"/>
        </w:rPr>
        <w:t>9</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第四节  建设普惠金融创新示范区</w:t>
      </w:r>
      <w:r>
        <w:rPr>
          <w:rFonts w:eastAsia="方正仿宋_GBK"/>
          <w:bCs/>
          <w:position w:val="8"/>
          <w:sz w:val="32"/>
          <w:szCs w:val="32"/>
        </w:rPr>
        <w:t>………………………</w:t>
      </w:r>
      <w:r>
        <w:rPr>
          <w:rFonts w:hint="eastAsia" w:ascii="方正楷体_GBK" w:hAnsi="Calibri" w:eastAsia="方正楷体_GBK" w:cs="宋体"/>
          <w:kern w:val="0"/>
          <w:szCs w:val="32"/>
          <w:lang w:eastAsia="zh-CN"/>
        </w:rPr>
        <w:t>（</w:t>
      </w:r>
      <w:r>
        <w:rPr>
          <w:rFonts w:hint="eastAsia"/>
          <w:kern w:val="0"/>
          <w:szCs w:val="32"/>
          <w:lang w:val="en-US" w:eastAsia="zh-CN"/>
        </w:rPr>
        <w:t>50</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一、加大普惠金融信贷支持</w:t>
      </w:r>
      <w:r>
        <w:rPr>
          <w:rFonts w:eastAsia="方正仿宋_GBK"/>
          <w:bCs/>
          <w:position w:val="8"/>
          <w:sz w:val="32"/>
          <w:szCs w:val="32"/>
        </w:rPr>
        <w:t>……………………………</w:t>
      </w:r>
      <w:r>
        <w:rPr>
          <w:rFonts w:hint="eastAsia" w:ascii="方正仿宋_GBK" w:hAnsi="Calibri" w:cs="宋体"/>
          <w:kern w:val="0"/>
          <w:szCs w:val="32"/>
          <w:lang w:eastAsia="zh-CN"/>
        </w:rPr>
        <w:t>（</w:t>
      </w:r>
      <w:r>
        <w:rPr>
          <w:rFonts w:hint="eastAsia"/>
          <w:kern w:val="0"/>
          <w:szCs w:val="32"/>
          <w:lang w:val="en-US" w:eastAsia="zh-CN"/>
        </w:rPr>
        <w:t>50</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二、创新普惠金融产品服务</w:t>
      </w:r>
      <w:r>
        <w:rPr>
          <w:rFonts w:eastAsia="方正仿宋_GBK"/>
          <w:bCs/>
          <w:position w:val="8"/>
          <w:sz w:val="32"/>
          <w:szCs w:val="32"/>
        </w:rPr>
        <w:t>……………………………</w:t>
      </w:r>
      <w:r>
        <w:rPr>
          <w:rFonts w:hint="eastAsia" w:ascii="方正仿宋_GBK" w:hAnsi="Calibri" w:cs="宋体"/>
          <w:kern w:val="0"/>
          <w:szCs w:val="32"/>
          <w:lang w:eastAsia="zh-CN"/>
        </w:rPr>
        <w:t>（</w:t>
      </w:r>
      <w:r>
        <w:rPr>
          <w:rFonts w:hint="eastAsia"/>
          <w:kern w:val="0"/>
          <w:szCs w:val="32"/>
          <w:lang w:val="en-US" w:eastAsia="zh-CN"/>
        </w:rPr>
        <w:t>51</w:t>
      </w:r>
      <w:r>
        <w:rPr>
          <w:rFonts w:hint="eastAsia" w:ascii="方正仿宋_GBK" w:hAnsi="Calibri" w:cs="宋体"/>
          <w:kern w:val="0"/>
          <w:szCs w:val="32"/>
          <w:lang w:eastAsia="zh-CN"/>
        </w:rPr>
        <w:t>）</w:t>
      </w:r>
    </w:p>
    <w:p>
      <w:pPr>
        <w:widowControl w:val="0"/>
        <w:snapToGrid w:val="0"/>
        <w:spacing w:line="276" w:lineRule="auto"/>
        <w:ind w:firstLine="960" w:firstLineChars="300"/>
        <w:rPr>
          <w:rFonts w:hint="eastAsia" w:eastAsia="方正仿宋_GBK"/>
          <w:kern w:val="0"/>
          <w:szCs w:val="32"/>
          <w:lang w:eastAsia="zh-CN"/>
        </w:rPr>
      </w:pPr>
      <w:r>
        <w:rPr>
          <w:rFonts w:hint="eastAsia" w:ascii="方正仿宋_GBK" w:hAnsi="Calibri" w:cs="宋体"/>
          <w:kern w:val="0"/>
          <w:szCs w:val="32"/>
        </w:rPr>
        <w:t>三、改善农村金融发展环境</w:t>
      </w:r>
      <w:r>
        <w:rPr>
          <w:rFonts w:eastAsia="方正仿宋_GBK"/>
          <w:bCs/>
          <w:position w:val="8"/>
          <w:sz w:val="32"/>
          <w:szCs w:val="32"/>
        </w:rPr>
        <w:t>……………………………</w:t>
      </w:r>
      <w:r>
        <w:rPr>
          <w:rFonts w:hint="eastAsia" w:ascii="方正仿宋_GBK" w:hAnsi="Calibri" w:cs="宋体"/>
          <w:kern w:val="0"/>
          <w:szCs w:val="32"/>
          <w:lang w:eastAsia="zh-CN"/>
        </w:rPr>
        <w:t>（</w:t>
      </w:r>
      <w:r>
        <w:rPr>
          <w:rFonts w:hint="eastAsia"/>
          <w:kern w:val="0"/>
          <w:szCs w:val="32"/>
          <w:lang w:val="en-US" w:eastAsia="zh-CN"/>
        </w:rPr>
        <w:t>51</w:t>
      </w:r>
      <w:r>
        <w:rPr>
          <w:rFonts w:hint="eastAsia" w:ascii="方正仿宋_GBK" w:hAnsi="Calibri" w:cs="宋体"/>
          <w:kern w:val="0"/>
          <w:szCs w:val="32"/>
          <w:lang w:eastAsia="zh-CN"/>
        </w:rPr>
        <w:t>）</w:t>
      </w:r>
    </w:p>
    <w:p>
      <w:pPr>
        <w:widowControl w:val="0"/>
        <w:snapToGrid w:val="0"/>
        <w:spacing w:line="276" w:lineRule="auto"/>
        <w:rPr>
          <w:rFonts w:hint="eastAsia" w:eastAsia="方正仿宋_GBK"/>
          <w:kern w:val="0"/>
          <w:szCs w:val="32"/>
          <w:lang w:eastAsia="zh-CN"/>
        </w:rPr>
      </w:pPr>
      <w:r>
        <w:rPr>
          <w:rFonts w:hint="eastAsia" w:ascii="方正黑体_GBK" w:hAnsi="Calibri" w:eastAsia="方正黑体_GBK" w:cs="宋体"/>
          <w:kern w:val="0"/>
          <w:szCs w:val="32"/>
        </w:rPr>
        <w:t>第八章  严守金融安全底线</w:t>
      </w:r>
      <w:r>
        <w:rPr>
          <w:rFonts w:eastAsia="方正仿宋_GBK"/>
          <w:bCs/>
          <w:position w:val="8"/>
          <w:sz w:val="32"/>
          <w:szCs w:val="32"/>
        </w:rPr>
        <w:t>…………………………………</w:t>
      </w:r>
      <w:r>
        <w:rPr>
          <w:rFonts w:hint="eastAsia" w:ascii="方正黑体_GBK" w:hAnsi="Calibri" w:eastAsia="方正黑体_GBK" w:cs="宋体"/>
          <w:kern w:val="0"/>
          <w:szCs w:val="32"/>
          <w:lang w:eastAsia="zh-CN"/>
        </w:rPr>
        <w:t>（</w:t>
      </w:r>
      <w:r>
        <w:rPr>
          <w:rFonts w:hint="eastAsia"/>
          <w:kern w:val="0"/>
          <w:szCs w:val="32"/>
          <w:lang w:val="en-US" w:eastAsia="zh-CN"/>
        </w:rPr>
        <w:t>52</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第一节  完善金融监管政策机制</w:t>
      </w:r>
      <w:r>
        <w:rPr>
          <w:rFonts w:eastAsia="方正仿宋_GBK"/>
          <w:bCs/>
          <w:position w:val="8"/>
          <w:sz w:val="32"/>
          <w:szCs w:val="32"/>
        </w:rPr>
        <w:t>…………………………</w:t>
      </w:r>
      <w:r>
        <w:rPr>
          <w:rFonts w:hint="eastAsia" w:ascii="方正楷体_GBK" w:hAnsi="Calibri" w:eastAsia="方正楷体_GBK" w:cs="宋体"/>
          <w:kern w:val="0"/>
          <w:szCs w:val="32"/>
          <w:lang w:eastAsia="zh-CN"/>
        </w:rPr>
        <w:t>（</w:t>
      </w:r>
      <w:r>
        <w:rPr>
          <w:rFonts w:hint="eastAsia" w:ascii="方正楷体_GBK" w:hAnsi="Calibri" w:eastAsia="方正楷体_GBK" w:cs="宋体"/>
          <w:kern w:val="0"/>
          <w:szCs w:val="32"/>
          <w:lang w:val="en-US" w:eastAsia="zh-CN"/>
        </w:rPr>
        <w:t>52</w:t>
      </w:r>
      <w:r>
        <w:rPr>
          <w:rFonts w:hint="eastAsia"/>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第二节  增强金融风险监测预警</w:t>
      </w:r>
      <w:r>
        <w:rPr>
          <w:rFonts w:eastAsia="方正仿宋_GBK"/>
          <w:bCs/>
          <w:position w:val="8"/>
          <w:sz w:val="32"/>
          <w:szCs w:val="32"/>
        </w:rPr>
        <w:t>…………………………</w:t>
      </w:r>
      <w:r>
        <w:rPr>
          <w:rFonts w:hint="eastAsia" w:ascii="方正楷体_GBK" w:hAnsi="Calibri" w:eastAsia="方正楷体_GBK" w:cs="宋体"/>
          <w:kern w:val="0"/>
          <w:szCs w:val="32"/>
          <w:lang w:eastAsia="zh-CN"/>
        </w:rPr>
        <w:t>（</w:t>
      </w:r>
      <w:r>
        <w:rPr>
          <w:rFonts w:hint="eastAsia"/>
          <w:kern w:val="0"/>
          <w:szCs w:val="32"/>
          <w:lang w:val="en-US" w:eastAsia="zh-CN"/>
        </w:rPr>
        <w:t>53</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第三节  妥善做好金融风险处置</w:t>
      </w:r>
      <w:r>
        <w:rPr>
          <w:rFonts w:eastAsia="方正仿宋_GBK"/>
          <w:bCs/>
          <w:position w:val="8"/>
          <w:sz w:val="32"/>
          <w:szCs w:val="32"/>
        </w:rPr>
        <w:t>…………………………</w:t>
      </w:r>
      <w:r>
        <w:rPr>
          <w:rFonts w:hint="eastAsia" w:ascii="方正楷体_GBK" w:hAnsi="Calibri" w:eastAsia="方正楷体_GBK" w:cs="宋体"/>
          <w:kern w:val="0"/>
          <w:szCs w:val="32"/>
          <w:lang w:eastAsia="zh-CN"/>
        </w:rPr>
        <w:t>（</w:t>
      </w:r>
      <w:r>
        <w:rPr>
          <w:rFonts w:hint="eastAsia"/>
          <w:kern w:val="0"/>
          <w:szCs w:val="32"/>
          <w:lang w:val="en-US" w:eastAsia="zh-CN"/>
        </w:rPr>
        <w:t>53</w:t>
      </w:r>
      <w:r>
        <w:rPr>
          <w:rFonts w:hint="eastAsia" w:ascii="方正仿宋_GBK" w:hAnsi="Calibri" w:cs="宋体"/>
          <w:kern w:val="0"/>
          <w:szCs w:val="32"/>
          <w:lang w:eastAsia="zh-CN"/>
        </w:rPr>
        <w:t>）</w:t>
      </w:r>
    </w:p>
    <w:p>
      <w:pPr>
        <w:widowControl w:val="0"/>
        <w:snapToGrid w:val="0"/>
        <w:spacing w:line="276" w:lineRule="auto"/>
        <w:rPr>
          <w:rFonts w:hint="eastAsia" w:eastAsia="方正仿宋_GBK"/>
          <w:kern w:val="0"/>
          <w:szCs w:val="32"/>
          <w:lang w:eastAsia="zh-CN"/>
        </w:rPr>
      </w:pPr>
      <w:r>
        <w:rPr>
          <w:rFonts w:hint="eastAsia" w:ascii="方正黑体_GBK" w:hAnsi="Calibri" w:eastAsia="方正黑体_GBK" w:cs="宋体"/>
          <w:kern w:val="0"/>
          <w:szCs w:val="32"/>
        </w:rPr>
        <w:t>第九章  保障措施</w:t>
      </w:r>
      <w:r>
        <w:rPr>
          <w:rFonts w:eastAsia="方正仿宋_GBK"/>
          <w:bCs/>
          <w:position w:val="8"/>
          <w:sz w:val="32"/>
          <w:szCs w:val="32"/>
        </w:rPr>
        <w:t>……………………………………………</w:t>
      </w:r>
      <w:r>
        <w:rPr>
          <w:rFonts w:hint="eastAsia" w:ascii="方正黑体_GBK" w:hAnsi="Calibri" w:eastAsia="方正黑体_GBK" w:cs="宋体"/>
          <w:kern w:val="0"/>
          <w:szCs w:val="32"/>
          <w:lang w:eastAsia="zh-CN"/>
        </w:rPr>
        <w:t>（</w:t>
      </w:r>
      <w:r>
        <w:rPr>
          <w:rFonts w:hint="eastAsia"/>
          <w:kern w:val="0"/>
          <w:szCs w:val="32"/>
          <w:lang w:val="en-US" w:eastAsia="zh-CN"/>
        </w:rPr>
        <w:t>53</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第一节  加强组织领导</w:t>
      </w:r>
      <w:r>
        <w:rPr>
          <w:rFonts w:eastAsia="方正仿宋_GBK"/>
          <w:bCs/>
          <w:position w:val="8"/>
          <w:sz w:val="32"/>
          <w:szCs w:val="32"/>
        </w:rPr>
        <w:t>……………………………………</w:t>
      </w:r>
      <w:r>
        <w:rPr>
          <w:rFonts w:hint="eastAsia" w:ascii="方正楷体_GBK" w:hAnsi="Calibri" w:eastAsia="方正楷体_GBK" w:cs="宋体"/>
          <w:kern w:val="0"/>
          <w:szCs w:val="32"/>
          <w:lang w:eastAsia="zh-CN"/>
        </w:rPr>
        <w:t>（</w:t>
      </w:r>
      <w:r>
        <w:rPr>
          <w:rFonts w:hint="eastAsia"/>
          <w:kern w:val="0"/>
          <w:szCs w:val="32"/>
          <w:lang w:val="en-US" w:eastAsia="zh-CN"/>
        </w:rPr>
        <w:t>54</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第二节  加大政策支持</w:t>
      </w:r>
      <w:r>
        <w:rPr>
          <w:rFonts w:eastAsia="方正仿宋_GBK"/>
          <w:bCs/>
          <w:position w:val="8"/>
          <w:sz w:val="32"/>
          <w:szCs w:val="32"/>
        </w:rPr>
        <w:t>……………………………………</w:t>
      </w:r>
      <w:r>
        <w:rPr>
          <w:rFonts w:hint="eastAsia" w:ascii="方正楷体_GBK" w:hAnsi="Calibri" w:eastAsia="方正楷体_GBK" w:cs="宋体"/>
          <w:kern w:val="0"/>
          <w:szCs w:val="32"/>
          <w:lang w:eastAsia="zh-CN"/>
        </w:rPr>
        <w:t>（</w:t>
      </w:r>
      <w:r>
        <w:rPr>
          <w:rFonts w:hint="eastAsia"/>
          <w:kern w:val="0"/>
          <w:szCs w:val="32"/>
          <w:lang w:val="en-US" w:eastAsia="zh-CN"/>
        </w:rPr>
        <w:t>54</w:t>
      </w:r>
      <w:r>
        <w:rPr>
          <w:rFonts w:hint="eastAsia" w:ascii="方正仿宋_GBK" w:hAnsi="Calibri" w:cs="宋体"/>
          <w:kern w:val="0"/>
          <w:szCs w:val="32"/>
          <w:lang w:eastAsia="zh-CN"/>
        </w:rPr>
        <w:t>）</w:t>
      </w:r>
    </w:p>
    <w:p>
      <w:pPr>
        <w:widowControl w:val="0"/>
        <w:snapToGrid w:val="0"/>
        <w:spacing w:line="276" w:lineRule="auto"/>
        <w:ind w:firstLine="320" w:firstLineChars="100"/>
        <w:rPr>
          <w:rFonts w:hint="eastAsia" w:eastAsia="方正仿宋_GBK"/>
          <w:kern w:val="0"/>
          <w:szCs w:val="32"/>
          <w:lang w:eastAsia="zh-CN"/>
        </w:rPr>
      </w:pPr>
      <w:r>
        <w:rPr>
          <w:rFonts w:hint="eastAsia" w:ascii="方正楷体_GBK" w:hAnsi="Calibri" w:eastAsia="方正楷体_GBK" w:cs="宋体"/>
          <w:kern w:val="0"/>
          <w:szCs w:val="32"/>
        </w:rPr>
        <w:t>第三节  加强资源统筹</w:t>
      </w:r>
      <w:r>
        <w:rPr>
          <w:rFonts w:eastAsia="方正仿宋_GBK"/>
          <w:bCs/>
          <w:position w:val="8"/>
          <w:sz w:val="32"/>
          <w:szCs w:val="32"/>
        </w:rPr>
        <w:t>……………………………………</w:t>
      </w:r>
      <w:r>
        <w:rPr>
          <w:rFonts w:hint="eastAsia" w:ascii="方正楷体_GBK" w:hAnsi="Calibri" w:eastAsia="方正楷体_GBK" w:cs="宋体"/>
          <w:kern w:val="0"/>
          <w:szCs w:val="32"/>
          <w:lang w:eastAsia="zh-CN"/>
        </w:rPr>
        <w:t>（</w:t>
      </w:r>
      <w:r>
        <w:rPr>
          <w:rFonts w:hint="eastAsia"/>
          <w:kern w:val="0"/>
          <w:szCs w:val="32"/>
          <w:lang w:val="en-US" w:eastAsia="zh-CN"/>
        </w:rPr>
        <w:t>55</w:t>
      </w:r>
      <w:r>
        <w:rPr>
          <w:rFonts w:hint="eastAsia" w:ascii="方正仿宋_GBK" w:hAnsi="Calibri" w:cs="宋体"/>
          <w:kern w:val="0"/>
          <w:szCs w:val="32"/>
          <w:lang w:eastAsia="zh-CN"/>
        </w:rPr>
        <w:t>）</w:t>
      </w:r>
    </w:p>
    <w:p>
      <w:pPr>
        <w:widowControl w:val="0"/>
        <w:snapToGrid w:val="0"/>
        <w:spacing w:line="276" w:lineRule="auto"/>
        <w:rPr>
          <w:rFonts w:hint="eastAsia" w:eastAsia="方正仿宋_GBK"/>
          <w:kern w:val="0"/>
          <w:szCs w:val="32"/>
          <w:lang w:eastAsia="zh-CN"/>
        </w:rPr>
      </w:pPr>
      <w:r>
        <w:rPr>
          <w:rFonts w:hint="eastAsia" w:ascii="方正黑体_GBK" w:hAnsi="Calibri" w:eastAsia="方正黑体_GBK" w:cs="宋体"/>
          <w:kern w:val="0"/>
          <w:szCs w:val="32"/>
        </w:rPr>
        <w:t>附录一  部分政策依据</w:t>
      </w:r>
      <w:r>
        <w:rPr>
          <w:rFonts w:eastAsia="方正仿宋_GBK"/>
          <w:bCs/>
          <w:position w:val="8"/>
          <w:sz w:val="32"/>
          <w:szCs w:val="32"/>
        </w:rPr>
        <w:t>………………………………………</w:t>
      </w:r>
      <w:r>
        <w:rPr>
          <w:rFonts w:hint="eastAsia" w:ascii="方正黑体_GBK" w:hAnsi="Calibri" w:eastAsia="方正黑体_GBK" w:cs="宋体"/>
          <w:kern w:val="0"/>
          <w:szCs w:val="32"/>
          <w:lang w:eastAsia="zh-CN"/>
        </w:rPr>
        <w:t>（</w:t>
      </w:r>
      <w:r>
        <w:rPr>
          <w:rFonts w:hint="eastAsia"/>
          <w:kern w:val="0"/>
          <w:szCs w:val="32"/>
        </w:rPr>
        <w:t>5</w:t>
      </w:r>
      <w:r>
        <w:rPr>
          <w:rFonts w:hint="eastAsia"/>
          <w:kern w:val="0"/>
          <w:szCs w:val="32"/>
          <w:lang w:val="en-US" w:eastAsia="zh-CN"/>
        </w:rPr>
        <w:t>6</w:t>
      </w:r>
      <w:r>
        <w:rPr>
          <w:rFonts w:hint="eastAsia" w:ascii="方正仿宋_GBK" w:hAnsi="Calibri" w:cs="宋体"/>
          <w:kern w:val="0"/>
          <w:szCs w:val="32"/>
          <w:lang w:eastAsia="zh-CN"/>
        </w:rPr>
        <w:t>）</w:t>
      </w:r>
    </w:p>
    <w:p>
      <w:pPr>
        <w:widowControl w:val="0"/>
        <w:snapToGrid w:val="0"/>
        <w:spacing w:line="276" w:lineRule="auto"/>
        <w:rPr>
          <w:rFonts w:hint="eastAsia" w:ascii="方正仿宋_GBK" w:hAnsi="Calibri" w:cs="宋体"/>
          <w:kern w:val="0"/>
          <w:szCs w:val="32"/>
          <w:lang w:eastAsia="zh-CN"/>
        </w:rPr>
      </w:pPr>
      <w:r>
        <w:rPr>
          <w:rFonts w:hint="eastAsia" w:ascii="方正黑体_GBK" w:hAnsi="Calibri" w:eastAsia="方正黑体_GBK" w:cs="宋体"/>
          <w:kern w:val="0"/>
          <w:szCs w:val="32"/>
        </w:rPr>
        <w:t>附录二  永川区金融机构名单</w:t>
      </w:r>
      <w:r>
        <w:rPr>
          <w:rFonts w:eastAsia="方正仿宋_GBK"/>
          <w:bCs/>
          <w:position w:val="8"/>
          <w:sz w:val="32"/>
          <w:szCs w:val="32"/>
        </w:rPr>
        <w:t>………………………………</w:t>
      </w:r>
      <w:r>
        <w:rPr>
          <w:rFonts w:hint="eastAsia" w:eastAsia="宋体"/>
          <w:kern w:val="0"/>
          <w:szCs w:val="32"/>
          <w:lang w:eastAsia="zh-CN"/>
        </w:rPr>
        <w:t>（</w:t>
      </w:r>
      <w:r>
        <w:rPr>
          <w:rFonts w:hint="eastAsia"/>
          <w:kern w:val="0"/>
          <w:szCs w:val="32"/>
          <w:lang w:val="en-US" w:eastAsia="zh-CN"/>
        </w:rPr>
        <w:t>58</w:t>
      </w:r>
      <w:r>
        <w:rPr>
          <w:rFonts w:hint="eastAsia" w:ascii="方正仿宋_GBK" w:hAnsi="Calibri" w:cs="宋体"/>
          <w:kern w:val="0"/>
          <w:szCs w:val="32"/>
          <w:lang w:eastAsia="zh-CN"/>
        </w:rPr>
        <w:t>）</w:t>
      </w:r>
    </w:p>
    <w:p>
      <w:pPr>
        <w:widowControl w:val="0"/>
        <w:snapToGrid w:val="0"/>
        <w:spacing w:line="276" w:lineRule="auto"/>
        <w:jc w:val="both"/>
        <w:rPr>
          <w:rFonts w:hint="eastAsia" w:eastAsia="方正仿宋_GBK"/>
          <w:kern w:val="0"/>
          <w:szCs w:val="32"/>
        </w:rPr>
        <w:sectPr>
          <w:footerReference r:id="rId3" w:type="default"/>
          <w:pgSz w:w="11906" w:h="16838"/>
          <w:pgMar w:top="2098" w:right="1474" w:bottom="1984" w:left="1587" w:header="720" w:footer="1474" w:gutter="0"/>
          <w:pgNumType w:fmt="numberInDash"/>
          <w:cols w:space="0" w:num="1"/>
          <w:rtlGutter w:val="0"/>
          <w:docGrid w:type="lines" w:linePitch="439" w:charSpace="0"/>
        </w:sectPr>
      </w:pPr>
    </w:p>
    <w:p>
      <w:pPr>
        <w:widowControl w:val="0"/>
        <w:snapToGrid w:val="0"/>
        <w:spacing w:line="276" w:lineRule="auto"/>
        <w:ind w:firstLine="640" w:firstLineChars="200"/>
        <w:rPr>
          <w:rFonts w:hint="eastAsia" w:ascii="方正仿宋_GBK"/>
          <w:kern w:val="0"/>
          <w:szCs w:val="32"/>
        </w:rPr>
      </w:pPr>
      <w:r>
        <w:rPr>
          <w:rFonts w:hint="eastAsia" w:ascii="方正仿宋_GBK"/>
          <w:kern w:val="0"/>
          <w:szCs w:val="32"/>
        </w:rPr>
        <w:t>为推动永川区金融业高质量发展，服务和助力永川区建设成渝地区双城经济圈重要节点、重庆主城都市区战略支点，根据《永川区国民经济和社会发展第十四个五年规划和二〇三五年远景目标纲要》，制定本规划。</w:t>
      </w:r>
    </w:p>
    <w:p>
      <w:pPr>
        <w:widowControl w:val="0"/>
        <w:snapToGrid w:val="0"/>
        <w:spacing w:line="276" w:lineRule="auto"/>
        <w:ind w:firstLine="640" w:firstLineChars="200"/>
        <w:rPr>
          <w:rFonts w:hint="eastAsia" w:ascii="方正仿宋_GBK"/>
          <w:kern w:val="0"/>
          <w:szCs w:val="32"/>
        </w:rPr>
      </w:pPr>
    </w:p>
    <w:p>
      <w:pPr>
        <w:widowControl w:val="0"/>
        <w:snapToGrid w:val="0"/>
        <w:spacing w:before="0" w:after="0" w:line="276" w:lineRule="auto"/>
        <w:jc w:val="center"/>
        <w:rPr>
          <w:rFonts w:hint="eastAsia" w:ascii="方正黑体_GBK" w:hAnsi="黑体" w:eastAsia="方正黑体_GBK" w:cs="宋体"/>
          <w:kern w:val="0"/>
          <w:sz w:val="32"/>
          <w:szCs w:val="32"/>
        </w:rPr>
      </w:pPr>
      <w:bookmarkStart w:id="0" w:name="_Toc54271072"/>
      <w:bookmarkEnd w:id="0"/>
      <w:bookmarkStart w:id="1" w:name="_Toc7070"/>
      <w:r>
        <w:rPr>
          <w:rFonts w:hint="eastAsia" w:ascii="方正黑体_GBK" w:hAnsi="黑体" w:eastAsia="方正黑体_GBK" w:cs="宋体"/>
          <w:kern w:val="0"/>
          <w:sz w:val="32"/>
          <w:szCs w:val="32"/>
        </w:rPr>
        <w:t>第一章  发展基础与</w:t>
      </w:r>
      <w:bookmarkEnd w:id="1"/>
      <w:r>
        <w:rPr>
          <w:rFonts w:hint="eastAsia" w:ascii="方正黑体_GBK" w:hAnsi="黑体" w:eastAsia="方正黑体_GBK" w:cs="宋体"/>
          <w:kern w:val="0"/>
          <w:sz w:val="32"/>
          <w:szCs w:val="32"/>
        </w:rPr>
        <w:t>面临形势</w:t>
      </w:r>
    </w:p>
    <w:p>
      <w:pPr>
        <w:widowControl w:val="0"/>
        <w:snapToGrid w:val="0"/>
        <w:spacing w:line="276" w:lineRule="auto"/>
        <w:ind w:firstLine="640" w:firstLineChars="200"/>
        <w:rPr>
          <w:rFonts w:hint="eastAsia" w:ascii="方正仿宋_GBK"/>
          <w:kern w:val="0"/>
          <w:szCs w:val="32"/>
        </w:rPr>
      </w:pPr>
      <w:bookmarkStart w:id="2" w:name="_Toc54271073"/>
      <w:bookmarkEnd w:id="2"/>
    </w:p>
    <w:p>
      <w:pPr>
        <w:widowControl w:val="0"/>
        <w:snapToGrid w:val="0"/>
        <w:spacing w:line="276" w:lineRule="auto"/>
        <w:ind w:firstLine="640" w:firstLineChars="200"/>
        <w:rPr>
          <w:rFonts w:ascii="方正仿宋_GBK"/>
          <w:kern w:val="0"/>
          <w:szCs w:val="32"/>
        </w:rPr>
      </w:pPr>
      <w:r>
        <w:rPr>
          <w:rFonts w:hint="eastAsia" w:ascii="方正仿宋_GBK"/>
          <w:kern w:val="0"/>
          <w:szCs w:val="32"/>
        </w:rPr>
        <w:t>“十三五”时</w:t>
      </w:r>
      <w:r>
        <w:rPr>
          <w:rFonts w:ascii="方正仿宋_GBK"/>
          <w:kern w:val="0"/>
          <w:szCs w:val="32"/>
        </w:rPr>
        <w:t>期，永川区金融业发展成效显著，为统筹区域经济社会发展作出了积极贡献，</w:t>
      </w:r>
      <w:r>
        <w:rPr>
          <w:rFonts w:hint="eastAsia" w:ascii="方正仿宋_GBK"/>
          <w:kern w:val="0"/>
          <w:szCs w:val="32"/>
        </w:rPr>
        <w:t>为“十四五”时</w:t>
      </w:r>
      <w:r>
        <w:rPr>
          <w:rFonts w:ascii="方正仿宋_GBK"/>
          <w:kern w:val="0"/>
          <w:szCs w:val="32"/>
        </w:rPr>
        <w:t>期永川区金融业持续高质量发展奠定了坚实基础。</w:t>
      </w:r>
    </w:p>
    <w:p>
      <w:pPr>
        <w:widowControl w:val="0"/>
        <w:snapToGrid w:val="0"/>
        <w:spacing w:line="276" w:lineRule="auto"/>
        <w:ind w:firstLine="640" w:firstLineChars="200"/>
        <w:rPr>
          <w:rFonts w:hint="eastAsia" w:ascii="方正仿宋_GBK"/>
          <w:kern w:val="0"/>
          <w:szCs w:val="32"/>
        </w:rPr>
      </w:pPr>
    </w:p>
    <w:p>
      <w:pPr>
        <w:widowControl w:val="0"/>
        <w:snapToGrid w:val="0"/>
        <w:spacing w:before="0" w:after="0" w:line="276" w:lineRule="auto"/>
        <w:jc w:val="center"/>
        <w:rPr>
          <w:rFonts w:ascii="方正黑体_GBK" w:hAnsi="Calibri" w:eastAsia="方正黑体_GBK" w:cs="宋体"/>
          <w:kern w:val="0"/>
          <w:szCs w:val="32"/>
        </w:rPr>
      </w:pPr>
      <w:bookmarkStart w:id="3" w:name="_Toc15299"/>
      <w:bookmarkEnd w:id="3"/>
      <w:r>
        <w:rPr>
          <w:rFonts w:hint="eastAsia" w:ascii="方正黑体_GBK" w:hAnsi="Calibri" w:eastAsia="方正黑体_GBK" w:cs="宋体"/>
          <w:kern w:val="0"/>
          <w:szCs w:val="32"/>
        </w:rPr>
        <w:t>第一节  发展基础</w:t>
      </w:r>
    </w:p>
    <w:p>
      <w:pPr>
        <w:widowControl w:val="0"/>
        <w:snapToGrid w:val="0"/>
        <w:spacing w:line="276" w:lineRule="auto"/>
        <w:ind w:firstLine="640"/>
        <w:rPr>
          <w:rFonts w:hint="eastAsia" w:ascii="方正黑体_GBK" w:hAnsi="Calibri" w:eastAsia="方正黑体_GBK" w:cs="宋体"/>
          <w:kern w:val="0"/>
          <w:szCs w:val="32"/>
        </w:rPr>
      </w:pPr>
      <w:bookmarkStart w:id="4" w:name="_Toc56640706"/>
      <w:bookmarkEnd w:id="4"/>
      <w:bookmarkStart w:id="5" w:name="_Toc56460258"/>
      <w:bookmarkEnd w:id="5"/>
      <w:bookmarkStart w:id="6" w:name="_Toc54271074"/>
      <w:bookmarkEnd w:id="6"/>
      <w:bookmarkStart w:id="7" w:name="_Toc56729924"/>
      <w:bookmarkEnd w:id="7"/>
      <w:bookmarkStart w:id="8" w:name="_Toc14186"/>
      <w:bookmarkEnd w:id="8"/>
      <w:bookmarkStart w:id="9" w:name="_Toc56640970"/>
    </w:p>
    <w:p>
      <w:pPr>
        <w:widowControl w:val="0"/>
        <w:snapToGrid w:val="0"/>
        <w:spacing w:line="276" w:lineRule="auto"/>
        <w:ind w:firstLine="640"/>
        <w:rPr>
          <w:rFonts w:hint="eastAsia" w:ascii="方正黑体_GBK" w:hAnsi="Calibri" w:eastAsia="方正黑体_GBK" w:cs="宋体"/>
          <w:kern w:val="0"/>
          <w:szCs w:val="32"/>
        </w:rPr>
      </w:pPr>
      <w:r>
        <w:rPr>
          <w:rFonts w:hint="eastAsia" w:ascii="方正黑体_GBK" w:hAnsi="Calibri" w:eastAsia="方正黑体_GBK" w:cs="宋体"/>
          <w:kern w:val="0"/>
          <w:szCs w:val="32"/>
        </w:rPr>
        <w:t>一、金融综合实力稳步提升</w:t>
      </w:r>
      <w:bookmarkEnd w:id="9"/>
    </w:p>
    <w:p>
      <w:pPr>
        <w:widowControl w:val="0"/>
        <w:snapToGrid w:val="0"/>
        <w:spacing w:line="276" w:lineRule="auto"/>
        <w:ind w:firstLine="640" w:firstLineChars="200"/>
        <w:rPr>
          <w:rFonts w:hint="eastAsia" w:ascii="方正仿宋_GBK"/>
          <w:kern w:val="0"/>
          <w:szCs w:val="32"/>
        </w:rPr>
      </w:pPr>
      <w:r>
        <w:rPr>
          <w:rFonts w:hint="eastAsia" w:ascii="方正仿宋_GBK"/>
          <w:kern w:val="0"/>
          <w:szCs w:val="32"/>
        </w:rPr>
        <w:t>“十三五”时</w:t>
      </w:r>
      <w:r>
        <w:rPr>
          <w:rFonts w:ascii="方正仿宋_GBK"/>
          <w:kern w:val="0"/>
          <w:szCs w:val="32"/>
        </w:rPr>
        <w:t>期，永川区</w:t>
      </w:r>
      <w:r>
        <w:rPr>
          <w:rFonts w:hint="eastAsia" w:ascii="方正仿宋_GBK"/>
          <w:kern w:val="0"/>
          <w:szCs w:val="32"/>
        </w:rPr>
        <w:t>实施“金融业高质量发展三年行动计划”，产</w:t>
      </w:r>
      <w:r>
        <w:rPr>
          <w:rFonts w:ascii="方正仿宋_GBK"/>
          <w:kern w:val="0"/>
          <w:szCs w:val="32"/>
        </w:rPr>
        <w:t>业规模逐年壮大，金融业综合实力稳步提升。2020年，全区金融业实现增加值34.80亿元，同比增长</w:t>
      </w:r>
      <w:r>
        <w:rPr>
          <w:rFonts w:hint="eastAsia" w:ascii="方正仿宋_GBK"/>
          <w:kern w:val="0"/>
          <w:szCs w:val="32"/>
        </w:rPr>
        <w:t>2</w:t>
      </w:r>
      <w:r>
        <w:rPr>
          <w:rFonts w:ascii="方正仿宋_GBK"/>
          <w:kern w:val="0"/>
          <w:szCs w:val="32"/>
        </w:rPr>
        <w:t>.8%，占GDP比重3.44%，金融业对GDP增长贡献率达</w:t>
      </w:r>
      <w:r>
        <w:rPr>
          <w:rFonts w:hint="eastAsia" w:ascii="方正仿宋_GBK"/>
          <w:kern w:val="0"/>
          <w:szCs w:val="32"/>
        </w:rPr>
        <w:t>2</w:t>
      </w:r>
      <w:r>
        <w:rPr>
          <w:rFonts w:ascii="方正仿宋_GBK"/>
          <w:kern w:val="0"/>
          <w:szCs w:val="32"/>
        </w:rPr>
        <w:t>.10%，金融业占GDP比重</w:t>
      </w:r>
      <w:r>
        <w:rPr>
          <w:rFonts w:hint="eastAsia" w:ascii="方正仿宋_GBK"/>
          <w:kern w:val="0"/>
          <w:szCs w:val="32"/>
        </w:rPr>
        <w:t>较“十二五”末</w:t>
      </w:r>
      <w:r>
        <w:rPr>
          <w:rFonts w:ascii="方正仿宋_GBK"/>
          <w:kern w:val="0"/>
          <w:szCs w:val="32"/>
        </w:rPr>
        <w:t>提高0.94个百分点。截至2020年末，永川区银行业金融机构资产总额1200.87亿元；各项存款余额795.94亿元，各项贷款余额718.50亿元，分</w:t>
      </w:r>
      <w:r>
        <w:rPr>
          <w:rFonts w:hint="eastAsia" w:ascii="方正仿宋_GBK"/>
          <w:kern w:val="0"/>
          <w:szCs w:val="32"/>
        </w:rPr>
        <w:t>别较“十二五”末</w:t>
      </w:r>
      <w:r>
        <w:rPr>
          <w:rFonts w:ascii="方正仿宋_GBK"/>
          <w:kern w:val="0"/>
          <w:szCs w:val="32"/>
        </w:rPr>
        <w:t>增加330.55亿元、356.94亿元，分别增长71.03%、98.72%。2020年，全区保险业实现保费收入63.72亿元，同比增长23.11%，保险密度、保险深度分别达5590元/人、6.3%；全区4家证券机构代理证券交易额423.37亿元，同比增长37.73%。</w:t>
      </w:r>
    </w:p>
    <w:p>
      <w:pPr>
        <w:widowControl w:val="0"/>
        <w:snapToGrid w:val="0"/>
        <w:spacing w:line="276" w:lineRule="auto"/>
        <w:ind w:firstLine="640"/>
        <w:rPr>
          <w:rFonts w:ascii="方正黑体_GBK" w:hAnsi="Calibri" w:eastAsia="方正黑体_GBK" w:cs="宋体"/>
          <w:kern w:val="0"/>
          <w:szCs w:val="32"/>
        </w:rPr>
      </w:pPr>
      <w:bookmarkStart w:id="10" w:name="_Toc56729925"/>
      <w:bookmarkEnd w:id="10"/>
      <w:bookmarkStart w:id="11" w:name="_Toc56460259"/>
      <w:bookmarkEnd w:id="11"/>
      <w:bookmarkStart w:id="12" w:name="_Toc56640707"/>
      <w:bookmarkEnd w:id="12"/>
      <w:bookmarkStart w:id="13" w:name="_Toc54271075"/>
      <w:bookmarkEnd w:id="13"/>
      <w:bookmarkStart w:id="14" w:name="_Toc15459"/>
      <w:bookmarkEnd w:id="14"/>
      <w:bookmarkStart w:id="15" w:name="_Toc56640971"/>
      <w:r>
        <w:rPr>
          <w:rFonts w:hint="eastAsia" w:ascii="方正黑体_GBK" w:hAnsi="Calibri" w:eastAsia="方正黑体_GBK" w:cs="宋体"/>
          <w:kern w:val="0"/>
          <w:szCs w:val="32"/>
        </w:rPr>
        <w:t>二、金融组织体系不断完善</w:t>
      </w:r>
      <w:bookmarkEnd w:id="15"/>
    </w:p>
    <w:p>
      <w:pPr>
        <w:widowControl w:val="0"/>
        <w:snapToGrid w:val="0"/>
        <w:spacing w:line="276" w:lineRule="auto"/>
        <w:ind w:firstLine="640" w:firstLineChars="200"/>
        <w:rPr>
          <w:rFonts w:hint="eastAsia" w:ascii="方正仿宋_GBK"/>
          <w:kern w:val="0"/>
          <w:szCs w:val="32"/>
        </w:rPr>
      </w:pPr>
      <w:r>
        <w:rPr>
          <w:rFonts w:hint="eastAsia" w:ascii="方正仿宋_GBK"/>
          <w:kern w:val="0"/>
          <w:szCs w:val="32"/>
        </w:rPr>
        <w:t>“十三五”时</w:t>
      </w:r>
      <w:r>
        <w:rPr>
          <w:rFonts w:ascii="方正仿宋_GBK"/>
          <w:kern w:val="0"/>
          <w:szCs w:val="32"/>
        </w:rPr>
        <w:t>期，永川区金融机构数量大幅增长，机构牌照不断健全，金融组织体系逐步健全。截至2020年末，全区共有金融机构75家，其中银行业金融机构20家，保险机构40家（财产保险机构17家、人寿保险机构13家、保险中介机构10家），证券机构4家，小额贷款公司5家，融资担保公司2家，典当公司4家，在渝西</w:t>
      </w:r>
      <w:r>
        <w:rPr>
          <w:rFonts w:hint="eastAsia" w:ascii="方正仿宋_GBK"/>
          <w:kern w:val="0"/>
          <w:szCs w:val="32"/>
        </w:rPr>
        <w:t>地</w:t>
      </w:r>
      <w:r>
        <w:rPr>
          <w:rFonts w:ascii="方正仿宋_GBK"/>
          <w:kern w:val="0"/>
          <w:szCs w:val="32"/>
        </w:rPr>
        <w:t>区率先设立4家科技支行，全区金融机构数量居渝西</w:t>
      </w:r>
      <w:r>
        <w:rPr>
          <w:rFonts w:hint="eastAsia" w:ascii="方正仿宋_GBK"/>
          <w:kern w:val="0"/>
          <w:szCs w:val="32"/>
        </w:rPr>
        <w:t>地</w:t>
      </w:r>
      <w:r>
        <w:rPr>
          <w:rFonts w:ascii="方正仿宋_GBK"/>
          <w:kern w:val="0"/>
          <w:szCs w:val="32"/>
        </w:rPr>
        <w:t>区第一。监管机构方面，永川区是同时拥有人民银行中心支行和银保监分局的行政区，确保了金融业在审慎监管框架下稳健发展。上市企业方面，全区拥有新三板挂牌企业2家；重庆OTC挂牌企业55家。</w:t>
      </w:r>
    </w:p>
    <w:p>
      <w:pPr>
        <w:widowControl w:val="0"/>
        <w:snapToGrid w:val="0"/>
        <w:spacing w:line="276" w:lineRule="auto"/>
        <w:ind w:firstLine="640"/>
        <w:rPr>
          <w:rFonts w:ascii="方正黑体_GBK" w:hAnsi="Calibri" w:eastAsia="方正黑体_GBK" w:cs="宋体"/>
          <w:kern w:val="0"/>
          <w:szCs w:val="32"/>
        </w:rPr>
      </w:pPr>
      <w:bookmarkStart w:id="16" w:name="_Toc56460260"/>
      <w:bookmarkEnd w:id="16"/>
      <w:bookmarkStart w:id="17" w:name="_Toc56729926"/>
      <w:bookmarkEnd w:id="17"/>
      <w:bookmarkStart w:id="18" w:name="_Toc56640708"/>
      <w:bookmarkEnd w:id="18"/>
      <w:bookmarkStart w:id="19" w:name="_Toc54271077"/>
      <w:bookmarkEnd w:id="19"/>
      <w:bookmarkStart w:id="20" w:name="_Toc56640972"/>
      <w:bookmarkEnd w:id="20"/>
      <w:bookmarkStart w:id="21" w:name="_Toc24856"/>
      <w:r>
        <w:rPr>
          <w:rFonts w:hint="eastAsia" w:ascii="方正黑体_GBK" w:hAnsi="Calibri" w:eastAsia="方正黑体_GBK" w:cs="宋体"/>
          <w:kern w:val="0"/>
          <w:szCs w:val="32"/>
        </w:rPr>
        <w:t>三、服务实体能力显著增强</w:t>
      </w:r>
      <w:bookmarkEnd w:id="21"/>
    </w:p>
    <w:p>
      <w:pPr>
        <w:widowControl w:val="0"/>
        <w:snapToGrid w:val="0"/>
        <w:spacing w:line="276" w:lineRule="auto"/>
        <w:ind w:firstLine="640" w:firstLineChars="200"/>
        <w:rPr>
          <w:rFonts w:hint="eastAsia" w:ascii="方正仿宋_GBK"/>
          <w:kern w:val="0"/>
          <w:szCs w:val="32"/>
        </w:rPr>
      </w:pPr>
      <w:r>
        <w:rPr>
          <w:rFonts w:hint="eastAsia" w:ascii="方正仿宋_GBK"/>
          <w:kern w:val="0"/>
          <w:szCs w:val="32"/>
        </w:rPr>
        <w:t>“十三五”时期，永</w:t>
      </w:r>
      <w:r>
        <w:rPr>
          <w:rFonts w:ascii="方正仿宋_GBK"/>
          <w:kern w:val="0"/>
          <w:szCs w:val="32"/>
        </w:rPr>
        <w:t>川区金融业立足服务实体经济的本质要求，不断提升服务能力。2020年，永川区银行业金融机构累计新增企业授信136.07亿元，新增企业贷款112.32亿元；通过银行承兑汇票、票据贴现、债券、保证保函等各类表外业务为企业提供融资支持243.47亿元。截至2020年末，区内银行业金融机构民营企业贷款余额95.24亿元、同比增长20.55%，小微企业贷款余额121.84亿元、同比增长18.33%。</w:t>
      </w:r>
    </w:p>
    <w:p>
      <w:pPr>
        <w:widowControl w:val="0"/>
        <w:snapToGrid w:val="0"/>
        <w:spacing w:line="276" w:lineRule="auto"/>
        <w:ind w:firstLine="640" w:firstLineChars="200"/>
        <w:rPr>
          <w:rFonts w:ascii="方正仿宋_GBK"/>
          <w:kern w:val="0"/>
          <w:szCs w:val="32"/>
        </w:rPr>
      </w:pPr>
      <w:r>
        <w:rPr>
          <w:rFonts w:hint="eastAsia" w:ascii="方正仿宋_GBK"/>
          <w:kern w:val="0"/>
          <w:szCs w:val="32"/>
        </w:rPr>
        <w:t>“十三五”时期，永川</w:t>
      </w:r>
      <w:r>
        <w:rPr>
          <w:rFonts w:ascii="方正仿宋_GBK"/>
          <w:kern w:val="0"/>
          <w:szCs w:val="32"/>
        </w:rPr>
        <w:t>区先后设立多项金融扶持政策，支持区内产业发展，资本金总额达3.18亿元，累计支持贷款85.73亿元，其中中小企业转贷应急周转金累计帮助企业实现转贷17.64亿元，中小企业担保公司累计提供贷款担保37.07亿元，建立了5只分别支持中小企业、扶贫、科技企业、企业信用知识价值、农业企业的贷款风险补偿基金，基金总规模6400万元，与11家银行建立了合作关系，累计发放贷款19.31亿元。此外，全区积极开展科技型企业知识价值信用贷款，区内596家科技型企业获得授信21.33亿元，贷款规模及基金放大倍数在全重庆市位于前列。</w:t>
      </w:r>
    </w:p>
    <w:tbl>
      <w:tblPr>
        <w:tblStyle w:val="7"/>
        <w:tblW w:w="8960" w:type="dxa"/>
        <w:tblInd w:w="136" w:type="dxa"/>
        <w:tblLayout w:type="fixed"/>
        <w:tblCellMar>
          <w:top w:w="113" w:type="dxa"/>
          <w:left w:w="108" w:type="dxa"/>
          <w:bottom w:w="113" w:type="dxa"/>
          <w:right w:w="108" w:type="dxa"/>
        </w:tblCellMar>
      </w:tblPr>
      <w:tblGrid>
        <w:gridCol w:w="8960"/>
      </w:tblGrid>
      <w:tr>
        <w:tblPrEx>
          <w:tblCellMar>
            <w:top w:w="113" w:type="dxa"/>
            <w:left w:w="108" w:type="dxa"/>
            <w:bottom w:w="113" w:type="dxa"/>
            <w:right w:w="108" w:type="dxa"/>
          </w:tblCellMar>
        </w:tblPrEx>
        <w:trPr>
          <w:cantSplit/>
          <w:trHeight w:val="90" w:hRule="atLeast"/>
        </w:trPr>
        <w:tc>
          <w:tcPr>
            <w:tcW w:w="89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方正黑体_GBK" w:hAnsi="Calibri" w:eastAsia="方正黑体_GBK" w:cs="宋体"/>
                <w:kern w:val="0"/>
                <w:sz w:val="24"/>
                <w:szCs w:val="24"/>
              </w:rPr>
            </w:pPr>
            <w:r>
              <w:rPr>
                <w:rFonts w:hint="eastAsia" w:ascii="方正黑体_GBK" w:hAnsi="Calibri" w:eastAsia="方正黑体_GBK" w:cs="宋体"/>
                <w:kern w:val="0"/>
                <w:sz w:val="24"/>
                <w:szCs w:val="24"/>
              </w:rPr>
              <w:t>专栏1：“十三五”时期永川区金融扶持政策情况</w:t>
            </w:r>
          </w:p>
        </w:tc>
      </w:tr>
      <w:tr>
        <w:tblPrEx>
          <w:tblCellMar>
            <w:top w:w="113" w:type="dxa"/>
            <w:left w:w="108" w:type="dxa"/>
            <w:bottom w:w="113" w:type="dxa"/>
            <w:right w:w="108" w:type="dxa"/>
          </w:tblCellMar>
        </w:tblPrEx>
        <w:trPr>
          <w:cantSplit/>
          <w:trHeight w:val="2316" w:hRule="atLeast"/>
        </w:trPr>
        <w:tc>
          <w:tcPr>
            <w:tcW w:w="89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ind w:left="420"/>
              <w:rPr>
                <w:rFonts w:eastAsia="宋体"/>
                <w:kern w:val="0"/>
                <w:sz w:val="24"/>
                <w:szCs w:val="24"/>
              </w:rPr>
            </w:pPr>
            <w:r>
              <w:rPr>
                <w:rFonts w:eastAsia="宋体"/>
                <w:kern w:val="0"/>
                <w:sz w:val="24"/>
                <w:szCs w:val="24"/>
              </w:rPr>
              <w:t>1.</w:t>
            </w:r>
            <w:r>
              <w:rPr>
                <w:rFonts w:ascii="方正仿宋_GBK"/>
                <w:kern w:val="0"/>
                <w:sz w:val="24"/>
                <w:szCs w:val="24"/>
              </w:rPr>
              <w:t>中小企业风险补偿贷款：累计发放</w:t>
            </w:r>
            <w:r>
              <w:rPr>
                <w:rFonts w:eastAsia="宋体"/>
                <w:kern w:val="0"/>
                <w:sz w:val="24"/>
                <w:szCs w:val="24"/>
              </w:rPr>
              <w:t>314</w:t>
            </w:r>
            <w:r>
              <w:rPr>
                <w:rFonts w:ascii="方正仿宋_GBK"/>
                <w:kern w:val="0"/>
                <w:sz w:val="24"/>
                <w:szCs w:val="24"/>
              </w:rPr>
              <w:t>笔、</w:t>
            </w:r>
            <w:r>
              <w:rPr>
                <w:rFonts w:eastAsia="宋体"/>
                <w:kern w:val="0"/>
                <w:sz w:val="24"/>
                <w:szCs w:val="24"/>
              </w:rPr>
              <w:t>11.19</w:t>
            </w:r>
            <w:r>
              <w:rPr>
                <w:rFonts w:ascii="方正仿宋_GBK"/>
                <w:kern w:val="0"/>
                <w:sz w:val="24"/>
                <w:szCs w:val="24"/>
              </w:rPr>
              <w:t>亿元</w:t>
            </w:r>
          </w:p>
          <w:p>
            <w:pPr>
              <w:widowControl w:val="0"/>
              <w:snapToGrid w:val="0"/>
              <w:spacing w:line="240" w:lineRule="auto"/>
              <w:ind w:left="420"/>
              <w:rPr>
                <w:rFonts w:eastAsia="宋体"/>
                <w:kern w:val="0"/>
                <w:sz w:val="24"/>
                <w:szCs w:val="24"/>
              </w:rPr>
            </w:pPr>
            <w:r>
              <w:rPr>
                <w:rFonts w:eastAsia="宋体"/>
                <w:kern w:val="0"/>
                <w:sz w:val="24"/>
                <w:szCs w:val="24"/>
              </w:rPr>
              <w:t>2.</w:t>
            </w:r>
            <w:r>
              <w:rPr>
                <w:rFonts w:ascii="方正仿宋_GBK"/>
                <w:kern w:val="0"/>
                <w:sz w:val="24"/>
                <w:szCs w:val="24"/>
              </w:rPr>
              <w:t>中小企业商业价值信用贷款：累计发放</w:t>
            </w:r>
            <w:r>
              <w:rPr>
                <w:rFonts w:eastAsia="宋体"/>
                <w:kern w:val="0"/>
                <w:sz w:val="24"/>
                <w:szCs w:val="24"/>
              </w:rPr>
              <w:t>133</w:t>
            </w:r>
            <w:r>
              <w:rPr>
                <w:rFonts w:ascii="方正仿宋_GBK"/>
                <w:kern w:val="0"/>
                <w:sz w:val="24"/>
                <w:szCs w:val="24"/>
              </w:rPr>
              <w:t>笔、</w:t>
            </w:r>
            <w:r>
              <w:rPr>
                <w:rFonts w:eastAsia="宋体"/>
                <w:kern w:val="0"/>
                <w:sz w:val="24"/>
                <w:szCs w:val="24"/>
              </w:rPr>
              <w:t>1.49</w:t>
            </w:r>
            <w:r>
              <w:rPr>
                <w:rFonts w:ascii="方正仿宋_GBK"/>
                <w:kern w:val="0"/>
                <w:sz w:val="24"/>
                <w:szCs w:val="24"/>
              </w:rPr>
              <w:t>亿元</w:t>
            </w:r>
          </w:p>
          <w:p>
            <w:pPr>
              <w:widowControl w:val="0"/>
              <w:snapToGrid w:val="0"/>
              <w:spacing w:line="240" w:lineRule="auto"/>
              <w:ind w:left="420"/>
              <w:rPr>
                <w:rFonts w:eastAsia="宋体"/>
                <w:kern w:val="0"/>
                <w:sz w:val="24"/>
                <w:szCs w:val="24"/>
              </w:rPr>
            </w:pPr>
            <w:r>
              <w:rPr>
                <w:rFonts w:eastAsia="宋体"/>
                <w:kern w:val="0"/>
                <w:sz w:val="24"/>
                <w:szCs w:val="24"/>
              </w:rPr>
              <w:t>3.</w:t>
            </w:r>
            <w:r>
              <w:rPr>
                <w:rFonts w:ascii="方正仿宋_GBK"/>
                <w:kern w:val="0"/>
                <w:sz w:val="24"/>
                <w:szCs w:val="24"/>
              </w:rPr>
              <w:t>知识价值信用贷款：累计授信</w:t>
            </w:r>
            <w:r>
              <w:rPr>
                <w:rFonts w:eastAsia="宋体"/>
                <w:kern w:val="0"/>
                <w:sz w:val="24"/>
                <w:szCs w:val="24"/>
              </w:rPr>
              <w:t>22.5</w:t>
            </w:r>
            <w:r>
              <w:rPr>
                <w:rFonts w:ascii="方正仿宋_GBK"/>
                <w:kern w:val="0"/>
                <w:sz w:val="24"/>
                <w:szCs w:val="24"/>
              </w:rPr>
              <w:t>亿元</w:t>
            </w:r>
          </w:p>
          <w:p>
            <w:pPr>
              <w:widowControl w:val="0"/>
              <w:snapToGrid w:val="0"/>
              <w:spacing w:line="240" w:lineRule="auto"/>
              <w:ind w:left="420"/>
              <w:rPr>
                <w:rFonts w:eastAsia="宋体"/>
                <w:kern w:val="0"/>
                <w:sz w:val="24"/>
                <w:szCs w:val="24"/>
              </w:rPr>
            </w:pPr>
            <w:r>
              <w:rPr>
                <w:rFonts w:eastAsia="宋体"/>
                <w:kern w:val="0"/>
                <w:sz w:val="24"/>
                <w:szCs w:val="24"/>
              </w:rPr>
              <w:t>4.</w:t>
            </w:r>
            <w:r>
              <w:rPr>
                <w:rFonts w:ascii="方正仿宋_GBK"/>
                <w:kern w:val="0"/>
                <w:sz w:val="24"/>
                <w:szCs w:val="24"/>
              </w:rPr>
              <w:t>农业担保风险补偿贷款：累计发放</w:t>
            </w:r>
            <w:r>
              <w:rPr>
                <w:rFonts w:eastAsia="宋体"/>
                <w:kern w:val="0"/>
                <w:sz w:val="24"/>
                <w:szCs w:val="24"/>
              </w:rPr>
              <w:t>3.75</w:t>
            </w:r>
            <w:r>
              <w:rPr>
                <w:rFonts w:ascii="方正仿宋_GBK"/>
                <w:kern w:val="0"/>
                <w:sz w:val="24"/>
                <w:szCs w:val="24"/>
              </w:rPr>
              <w:t>亿元</w:t>
            </w:r>
          </w:p>
          <w:p>
            <w:pPr>
              <w:widowControl w:val="0"/>
              <w:snapToGrid w:val="0"/>
              <w:spacing w:line="240" w:lineRule="auto"/>
              <w:ind w:left="420"/>
              <w:rPr>
                <w:rFonts w:eastAsia="宋体"/>
                <w:kern w:val="0"/>
                <w:sz w:val="24"/>
                <w:szCs w:val="24"/>
              </w:rPr>
            </w:pPr>
            <w:r>
              <w:rPr>
                <w:rFonts w:eastAsia="宋体"/>
                <w:kern w:val="0"/>
                <w:sz w:val="24"/>
                <w:szCs w:val="24"/>
              </w:rPr>
              <w:t>5.</w:t>
            </w:r>
            <w:r>
              <w:rPr>
                <w:rFonts w:ascii="方正仿宋_GBK"/>
                <w:kern w:val="0"/>
                <w:sz w:val="24"/>
                <w:szCs w:val="24"/>
              </w:rPr>
              <w:t>农业风险补偿贷款：累计发放</w:t>
            </w:r>
            <w:r>
              <w:rPr>
                <w:rFonts w:eastAsia="宋体"/>
                <w:kern w:val="0"/>
                <w:sz w:val="24"/>
                <w:szCs w:val="24"/>
              </w:rPr>
              <w:t>1.11</w:t>
            </w:r>
            <w:r>
              <w:rPr>
                <w:rFonts w:ascii="方正仿宋_GBK"/>
                <w:kern w:val="0"/>
                <w:sz w:val="24"/>
                <w:szCs w:val="24"/>
              </w:rPr>
              <w:t>亿元</w:t>
            </w:r>
          </w:p>
          <w:p>
            <w:pPr>
              <w:widowControl w:val="0"/>
              <w:snapToGrid w:val="0"/>
              <w:spacing w:line="240" w:lineRule="auto"/>
              <w:ind w:left="420"/>
              <w:rPr>
                <w:rFonts w:eastAsia="宋体"/>
                <w:kern w:val="0"/>
                <w:sz w:val="24"/>
                <w:szCs w:val="24"/>
              </w:rPr>
            </w:pPr>
            <w:r>
              <w:rPr>
                <w:rFonts w:eastAsia="宋体"/>
                <w:kern w:val="0"/>
                <w:sz w:val="24"/>
                <w:szCs w:val="24"/>
              </w:rPr>
              <w:t>6.</w:t>
            </w:r>
            <w:r>
              <w:rPr>
                <w:rFonts w:ascii="方正仿宋_GBK"/>
                <w:kern w:val="0"/>
                <w:sz w:val="24"/>
                <w:szCs w:val="24"/>
              </w:rPr>
              <w:t>中小企业转贷应急周转金：累计帮助企业实现转贷</w:t>
            </w:r>
            <w:r>
              <w:rPr>
                <w:rFonts w:eastAsia="宋体"/>
                <w:kern w:val="0"/>
                <w:sz w:val="24"/>
                <w:szCs w:val="24"/>
              </w:rPr>
              <w:t>17.64</w:t>
            </w:r>
            <w:r>
              <w:rPr>
                <w:rFonts w:ascii="方正仿宋_GBK"/>
                <w:kern w:val="0"/>
                <w:sz w:val="24"/>
                <w:szCs w:val="24"/>
              </w:rPr>
              <w:t>亿元</w:t>
            </w:r>
          </w:p>
          <w:p>
            <w:pPr>
              <w:widowControl w:val="0"/>
              <w:snapToGrid w:val="0"/>
              <w:spacing w:line="240" w:lineRule="auto"/>
              <w:ind w:left="420"/>
              <w:rPr>
                <w:rFonts w:eastAsia="宋体"/>
                <w:kern w:val="0"/>
                <w:sz w:val="24"/>
                <w:szCs w:val="24"/>
              </w:rPr>
            </w:pPr>
            <w:r>
              <w:rPr>
                <w:rFonts w:eastAsia="宋体"/>
                <w:kern w:val="0"/>
                <w:sz w:val="24"/>
                <w:szCs w:val="24"/>
              </w:rPr>
              <w:t>7.</w:t>
            </w:r>
            <w:r>
              <w:rPr>
                <w:rFonts w:ascii="方正仿宋_GBK"/>
                <w:kern w:val="0"/>
                <w:sz w:val="24"/>
                <w:szCs w:val="24"/>
              </w:rPr>
              <w:t>中小企业担保：累计提供贷款担保</w:t>
            </w:r>
            <w:r>
              <w:rPr>
                <w:rFonts w:eastAsia="宋体"/>
                <w:kern w:val="0"/>
                <w:sz w:val="24"/>
                <w:szCs w:val="24"/>
              </w:rPr>
              <w:t>37.07</w:t>
            </w:r>
            <w:r>
              <w:rPr>
                <w:rFonts w:ascii="方正仿宋_GBK"/>
                <w:kern w:val="0"/>
                <w:sz w:val="24"/>
                <w:szCs w:val="24"/>
              </w:rPr>
              <w:t>亿元</w:t>
            </w:r>
          </w:p>
        </w:tc>
      </w:tr>
    </w:tbl>
    <w:p>
      <w:pPr>
        <w:widowControl w:val="0"/>
        <w:snapToGrid w:val="0"/>
        <w:spacing w:line="276" w:lineRule="auto"/>
        <w:ind w:firstLine="640"/>
        <w:rPr>
          <w:rFonts w:ascii="方正黑体_GBK" w:hAnsi="Calibri" w:eastAsia="方正黑体_GBK" w:cs="宋体"/>
          <w:kern w:val="0"/>
          <w:szCs w:val="32"/>
        </w:rPr>
      </w:pPr>
      <w:bookmarkStart w:id="22" w:name="_Toc56640709"/>
      <w:bookmarkEnd w:id="22"/>
      <w:bookmarkStart w:id="23" w:name="_Toc56729927"/>
      <w:bookmarkEnd w:id="23"/>
      <w:bookmarkStart w:id="24" w:name="_Toc56640973"/>
      <w:bookmarkEnd w:id="24"/>
      <w:bookmarkStart w:id="25" w:name="_Toc17868"/>
      <w:r>
        <w:rPr>
          <w:rFonts w:hint="eastAsia" w:ascii="方正黑体_GBK" w:hAnsi="Calibri" w:eastAsia="方正黑体_GBK" w:cs="宋体"/>
          <w:kern w:val="0"/>
          <w:szCs w:val="32"/>
        </w:rPr>
        <w:t>四、惠小微保民生</w:t>
      </w:r>
      <w:bookmarkEnd w:id="25"/>
      <w:r>
        <w:rPr>
          <w:rFonts w:hint="eastAsia" w:ascii="方正黑体_GBK" w:hAnsi="Calibri" w:eastAsia="方正黑体_GBK" w:cs="宋体"/>
          <w:kern w:val="0"/>
          <w:szCs w:val="32"/>
        </w:rPr>
        <w:t>卓有成效</w:t>
      </w:r>
    </w:p>
    <w:p>
      <w:pPr>
        <w:widowControl w:val="0"/>
        <w:snapToGrid w:val="0"/>
        <w:spacing w:line="276" w:lineRule="auto"/>
        <w:ind w:firstLine="640" w:firstLineChars="200"/>
        <w:rPr>
          <w:rFonts w:hint="eastAsia" w:ascii="方正仿宋_GBK"/>
          <w:kern w:val="0"/>
          <w:szCs w:val="32"/>
        </w:rPr>
      </w:pPr>
      <w:r>
        <w:rPr>
          <w:rFonts w:hint="eastAsia" w:ascii="方正仿宋_GBK"/>
          <w:kern w:val="0"/>
          <w:szCs w:val="32"/>
        </w:rPr>
        <w:t>“十三五”时期，</w:t>
      </w:r>
      <w:r>
        <w:rPr>
          <w:rFonts w:ascii="方正仿宋_GBK"/>
          <w:kern w:val="0"/>
          <w:szCs w:val="32"/>
        </w:rPr>
        <w:t>永川区不断挖掘普惠金融深度，降低企业融资成本，促进普惠型小微企业贷款和扶贫小额信用贷款扩面增量。截至2020年末，永川区银行业金融机构普惠型小微贷款余额62.03亿元，较年初增加10.23亿元，增幅19.76%；辖内扶贫小额信用贷款余额4067.39万元，获贷率70.51%。2020年，永川区普惠口径小微企业贷款加权平均利率5.30%、小微企业主经营性贷款加权平均利率5.34%、个体工商户经营性贷款加权平均利率5.75%</w:t>
      </w:r>
      <w:r>
        <w:rPr>
          <w:rFonts w:hint="eastAsia" w:ascii="方正仿宋_GBK"/>
          <w:kern w:val="0"/>
          <w:szCs w:val="32"/>
        </w:rPr>
        <w:t>，</w:t>
      </w:r>
      <w:r>
        <w:rPr>
          <w:rFonts w:ascii="方正仿宋_GBK"/>
          <w:kern w:val="0"/>
          <w:szCs w:val="32"/>
        </w:rPr>
        <w:t>较上年同期分别下降0.55个百分点、0.78个百分点、0.72个百分点。</w:t>
      </w:r>
    </w:p>
    <w:p>
      <w:pPr>
        <w:widowControl w:val="0"/>
        <w:snapToGrid w:val="0"/>
        <w:spacing w:after="0" w:line="276" w:lineRule="auto"/>
        <w:ind w:firstLine="640" w:firstLineChars="200"/>
        <w:rPr>
          <w:rFonts w:ascii="方正仿宋_GBK"/>
          <w:kern w:val="0"/>
          <w:szCs w:val="32"/>
        </w:rPr>
      </w:pPr>
      <w:r>
        <w:rPr>
          <w:rFonts w:hint="eastAsia" w:ascii="方正仿宋_GBK"/>
          <w:kern w:val="0"/>
          <w:szCs w:val="32"/>
        </w:rPr>
        <w:t>“十三五”时期，永川区</w:t>
      </w:r>
      <w:r>
        <w:rPr>
          <w:rFonts w:ascii="方正仿宋_GBK"/>
          <w:kern w:val="0"/>
          <w:szCs w:val="32"/>
        </w:rPr>
        <w:t>积极督导保险机构回归保险保障民生，探</w:t>
      </w:r>
      <w:r>
        <w:rPr>
          <w:rFonts w:hint="eastAsia" w:ascii="方正仿宋_GBK"/>
          <w:kern w:val="0"/>
          <w:szCs w:val="32"/>
        </w:rPr>
        <w:t>索“信贷+保险+担保+风险补偿”的创</w:t>
      </w:r>
      <w:r>
        <w:rPr>
          <w:rFonts w:ascii="方正仿宋_GBK"/>
          <w:kern w:val="0"/>
          <w:szCs w:val="32"/>
        </w:rPr>
        <w:t>新性普惠保险服务，服务民生，保障生产生活稳定。全区保险机构已开展各类政策性、公益性保险项目49项，提供保障超2000亿元。其中，承保民营小微企业保险项目，保额563亿元；承保生猪、仔猪和能繁母猪3.2万头，保额4647万元；承保茶叶、蔬菜、食用菌等农作物种植险，保额951万元；承保巨灾保险114万人，保额近10亿元；承保公共区域停车场责任险、承运人责任险、安全生产责任等，保额39亿元。</w:t>
      </w:r>
    </w:p>
    <w:tbl>
      <w:tblPr>
        <w:tblStyle w:val="7"/>
        <w:tblW w:w="8920" w:type="dxa"/>
        <w:jc w:val="center"/>
        <w:tblLayout w:type="fixed"/>
        <w:tblCellMar>
          <w:top w:w="57" w:type="dxa"/>
          <w:left w:w="68" w:type="dxa"/>
          <w:bottom w:w="57" w:type="dxa"/>
          <w:right w:w="68" w:type="dxa"/>
        </w:tblCellMar>
      </w:tblPr>
      <w:tblGrid>
        <w:gridCol w:w="5066"/>
        <w:gridCol w:w="907"/>
        <w:gridCol w:w="1031"/>
        <w:gridCol w:w="1916"/>
      </w:tblGrid>
      <w:tr>
        <w:tblPrEx>
          <w:tblCellMar>
            <w:top w:w="57" w:type="dxa"/>
            <w:left w:w="68" w:type="dxa"/>
            <w:bottom w:w="57" w:type="dxa"/>
            <w:right w:w="68" w:type="dxa"/>
          </w:tblCellMar>
        </w:tblPrEx>
        <w:trPr>
          <w:trHeight w:val="523" w:hRule="atLeast"/>
          <w:jc w:val="center"/>
        </w:trPr>
        <w:tc>
          <w:tcPr>
            <w:tcW w:w="8920" w:type="dxa"/>
            <w:gridSpan w:val="4"/>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方正黑体_GBK" w:hAnsi="Calibri" w:eastAsia="方正黑体_GBK" w:cs="宋体"/>
                <w:b w:val="0"/>
                <w:bCs w:val="0"/>
                <w:kern w:val="0"/>
                <w:sz w:val="24"/>
                <w:szCs w:val="24"/>
              </w:rPr>
            </w:pPr>
            <w:r>
              <w:rPr>
                <w:rFonts w:hint="eastAsia" w:ascii="方正黑体_GBK" w:hAnsi="Calibri" w:eastAsia="方正黑体_GBK" w:cs="宋体"/>
                <w:b w:val="0"/>
                <w:bCs w:val="0"/>
                <w:kern w:val="0"/>
                <w:sz w:val="24"/>
                <w:szCs w:val="24"/>
              </w:rPr>
              <w:t>专栏2：“十三五”末永川区降低融资成本情况</w:t>
            </w:r>
          </w:p>
        </w:tc>
      </w:tr>
      <w:tr>
        <w:tblPrEx>
          <w:tblCellMar>
            <w:top w:w="57" w:type="dxa"/>
            <w:left w:w="68" w:type="dxa"/>
            <w:bottom w:w="57" w:type="dxa"/>
            <w:right w:w="68" w:type="dxa"/>
          </w:tblCellMar>
        </w:tblPrEx>
        <w:trPr>
          <w:trHeight w:val="523" w:hRule="atLeast"/>
          <w:jc w:val="center"/>
        </w:trPr>
        <w:tc>
          <w:tcPr>
            <w:tcW w:w="506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rPr>
                <w:rFonts w:eastAsia="宋体"/>
                <w:b w:val="0"/>
                <w:bCs w:val="0"/>
                <w:kern w:val="0"/>
                <w:sz w:val="24"/>
                <w:szCs w:val="24"/>
              </w:rPr>
            </w:pPr>
          </w:p>
        </w:tc>
        <w:tc>
          <w:tcPr>
            <w:tcW w:w="907"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eastAsia="宋体"/>
                <w:b w:val="0"/>
                <w:bCs w:val="0"/>
                <w:kern w:val="0"/>
                <w:sz w:val="24"/>
                <w:szCs w:val="24"/>
              </w:rPr>
            </w:pPr>
            <w:r>
              <w:rPr>
                <w:rFonts w:eastAsia="宋体"/>
                <w:b w:val="0"/>
                <w:bCs w:val="0"/>
                <w:kern w:val="0"/>
                <w:sz w:val="24"/>
                <w:szCs w:val="24"/>
              </w:rPr>
              <w:t>2019</w:t>
            </w:r>
            <w:r>
              <w:rPr>
                <w:rFonts w:ascii="方正仿宋_GBK"/>
                <w:b w:val="0"/>
                <w:bCs w:val="0"/>
                <w:kern w:val="0"/>
                <w:sz w:val="24"/>
                <w:szCs w:val="24"/>
              </w:rPr>
              <w:t>年</w:t>
            </w:r>
          </w:p>
        </w:tc>
        <w:tc>
          <w:tcPr>
            <w:tcW w:w="1031"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eastAsia="宋体"/>
                <w:b w:val="0"/>
                <w:bCs w:val="0"/>
                <w:kern w:val="0"/>
                <w:sz w:val="24"/>
                <w:szCs w:val="24"/>
              </w:rPr>
            </w:pPr>
            <w:r>
              <w:rPr>
                <w:rFonts w:eastAsia="宋体"/>
                <w:b w:val="0"/>
                <w:bCs w:val="0"/>
                <w:kern w:val="0"/>
                <w:sz w:val="24"/>
                <w:szCs w:val="24"/>
              </w:rPr>
              <w:t>2020</w:t>
            </w:r>
            <w:r>
              <w:rPr>
                <w:rFonts w:ascii="方正仿宋_GBK"/>
                <w:b w:val="0"/>
                <w:bCs w:val="0"/>
                <w:kern w:val="0"/>
                <w:sz w:val="24"/>
                <w:szCs w:val="24"/>
              </w:rPr>
              <w:t>年</w:t>
            </w:r>
          </w:p>
        </w:tc>
        <w:tc>
          <w:tcPr>
            <w:tcW w:w="1916"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eastAsia="宋体"/>
                <w:b w:val="0"/>
                <w:bCs w:val="0"/>
                <w:kern w:val="0"/>
                <w:sz w:val="24"/>
                <w:szCs w:val="24"/>
              </w:rPr>
            </w:pPr>
            <w:r>
              <w:rPr>
                <w:rFonts w:hint="eastAsia" w:ascii="方正仿宋_GBK" w:eastAsia="方正仿宋_GBK"/>
                <w:b w:val="0"/>
                <w:bCs w:val="0"/>
                <w:kern w:val="0"/>
                <w:sz w:val="24"/>
                <w:szCs w:val="24"/>
              </w:rPr>
              <w:t>同比降幅</w:t>
            </w:r>
          </w:p>
        </w:tc>
      </w:tr>
      <w:tr>
        <w:tblPrEx>
          <w:tblCellMar>
            <w:top w:w="57" w:type="dxa"/>
            <w:left w:w="68" w:type="dxa"/>
            <w:bottom w:w="57" w:type="dxa"/>
            <w:right w:w="68" w:type="dxa"/>
          </w:tblCellMar>
        </w:tblPrEx>
        <w:trPr>
          <w:trHeight w:val="523" w:hRule="atLeast"/>
          <w:jc w:val="center"/>
        </w:trPr>
        <w:tc>
          <w:tcPr>
            <w:tcW w:w="5066" w:type="dxa"/>
            <w:tcBorders>
              <w:top w:val="single" w:color="000000" w:sz="4" w:space="0"/>
              <w:left w:val="single" w:color="000000" w:sz="4" w:space="0"/>
              <w:bottom w:val="single" w:color="000000" w:sz="4" w:space="0"/>
              <w:right w:val="single" w:color="000000" w:sz="4" w:space="0"/>
            </w:tcBorders>
          </w:tcPr>
          <w:p>
            <w:pPr>
              <w:widowControl w:val="0"/>
              <w:snapToGrid w:val="0"/>
              <w:spacing w:line="240" w:lineRule="auto"/>
              <w:rPr>
                <w:rFonts w:hint="eastAsia" w:ascii="方正仿宋_GBK"/>
                <w:b w:val="0"/>
                <w:bCs w:val="0"/>
                <w:kern w:val="0"/>
                <w:sz w:val="24"/>
                <w:szCs w:val="24"/>
              </w:rPr>
            </w:pPr>
            <w:r>
              <w:rPr>
                <w:rFonts w:hint="eastAsia" w:ascii="方正仿宋_GBK"/>
                <w:b w:val="0"/>
                <w:bCs w:val="0"/>
                <w:kern w:val="0"/>
                <w:sz w:val="24"/>
                <w:szCs w:val="24"/>
              </w:rPr>
              <w:t>普惠口径小微企业贷款（法人）加权平均利率</w:t>
            </w:r>
          </w:p>
        </w:tc>
        <w:tc>
          <w:tcPr>
            <w:tcW w:w="907"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hint="eastAsia" w:ascii="方正仿宋_GBK"/>
                <w:b w:val="0"/>
                <w:bCs w:val="0"/>
                <w:kern w:val="0"/>
                <w:sz w:val="24"/>
                <w:szCs w:val="24"/>
              </w:rPr>
            </w:pPr>
            <w:r>
              <w:rPr>
                <w:rFonts w:hint="eastAsia" w:ascii="方正仿宋_GBK"/>
                <w:b w:val="0"/>
                <w:bCs w:val="0"/>
                <w:kern w:val="0"/>
                <w:sz w:val="24"/>
                <w:szCs w:val="24"/>
              </w:rPr>
              <w:t>5.85%</w:t>
            </w:r>
          </w:p>
        </w:tc>
        <w:tc>
          <w:tcPr>
            <w:tcW w:w="1031"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hint="eastAsia" w:ascii="方正仿宋_GBK"/>
                <w:b w:val="0"/>
                <w:bCs w:val="0"/>
                <w:kern w:val="0"/>
                <w:sz w:val="24"/>
                <w:szCs w:val="24"/>
              </w:rPr>
            </w:pPr>
            <w:r>
              <w:rPr>
                <w:rFonts w:hint="eastAsia" w:ascii="方正仿宋_GBK"/>
                <w:b w:val="0"/>
                <w:bCs w:val="0"/>
                <w:kern w:val="0"/>
                <w:sz w:val="24"/>
                <w:szCs w:val="24"/>
              </w:rPr>
              <w:t>5.30%</w:t>
            </w:r>
          </w:p>
        </w:tc>
        <w:tc>
          <w:tcPr>
            <w:tcW w:w="1916"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hint="eastAsia" w:ascii="方正仿宋_GBK"/>
                <w:b w:val="0"/>
                <w:bCs w:val="0"/>
                <w:kern w:val="0"/>
                <w:sz w:val="24"/>
                <w:szCs w:val="24"/>
              </w:rPr>
            </w:pPr>
            <w:r>
              <w:rPr>
                <w:rFonts w:hint="eastAsia" w:ascii="方正仿宋_GBK"/>
                <w:b w:val="0"/>
                <w:bCs w:val="0"/>
                <w:kern w:val="0"/>
                <w:sz w:val="24"/>
                <w:szCs w:val="24"/>
              </w:rPr>
              <w:t>0.55个百分点</w:t>
            </w:r>
          </w:p>
        </w:tc>
      </w:tr>
      <w:tr>
        <w:tblPrEx>
          <w:tblCellMar>
            <w:top w:w="57" w:type="dxa"/>
            <w:left w:w="68" w:type="dxa"/>
            <w:bottom w:w="57" w:type="dxa"/>
            <w:right w:w="68" w:type="dxa"/>
          </w:tblCellMar>
        </w:tblPrEx>
        <w:trPr>
          <w:trHeight w:val="523" w:hRule="atLeast"/>
          <w:jc w:val="center"/>
        </w:trPr>
        <w:tc>
          <w:tcPr>
            <w:tcW w:w="5066" w:type="dxa"/>
            <w:tcBorders>
              <w:top w:val="single" w:color="000000" w:sz="4" w:space="0"/>
              <w:left w:val="single" w:color="000000" w:sz="4" w:space="0"/>
              <w:bottom w:val="single" w:color="000000" w:sz="4" w:space="0"/>
              <w:right w:val="single" w:color="000000" w:sz="4" w:space="0"/>
            </w:tcBorders>
          </w:tcPr>
          <w:p>
            <w:pPr>
              <w:widowControl w:val="0"/>
              <w:snapToGrid w:val="0"/>
              <w:spacing w:line="240" w:lineRule="auto"/>
              <w:rPr>
                <w:rFonts w:hint="eastAsia" w:ascii="方正仿宋_GBK"/>
                <w:b w:val="0"/>
                <w:bCs w:val="0"/>
                <w:kern w:val="0"/>
                <w:sz w:val="24"/>
                <w:szCs w:val="24"/>
              </w:rPr>
            </w:pPr>
            <w:r>
              <w:rPr>
                <w:rFonts w:hint="eastAsia" w:ascii="方正仿宋_GBK"/>
                <w:b w:val="0"/>
                <w:bCs w:val="0"/>
                <w:kern w:val="0"/>
                <w:sz w:val="24"/>
                <w:szCs w:val="24"/>
              </w:rPr>
              <w:t>小微企业主经营性贷款加权平均利率</w:t>
            </w:r>
          </w:p>
        </w:tc>
        <w:tc>
          <w:tcPr>
            <w:tcW w:w="907"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hint="eastAsia" w:ascii="方正仿宋_GBK"/>
                <w:b w:val="0"/>
                <w:bCs w:val="0"/>
                <w:kern w:val="0"/>
                <w:sz w:val="24"/>
                <w:szCs w:val="24"/>
              </w:rPr>
            </w:pPr>
            <w:r>
              <w:rPr>
                <w:rFonts w:hint="eastAsia" w:ascii="方正仿宋_GBK"/>
                <w:b w:val="0"/>
                <w:bCs w:val="0"/>
                <w:kern w:val="0"/>
                <w:sz w:val="24"/>
                <w:szCs w:val="24"/>
              </w:rPr>
              <w:t>6.12%</w:t>
            </w:r>
          </w:p>
        </w:tc>
        <w:tc>
          <w:tcPr>
            <w:tcW w:w="1031"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hint="eastAsia" w:ascii="方正仿宋_GBK"/>
                <w:b w:val="0"/>
                <w:bCs w:val="0"/>
                <w:kern w:val="0"/>
                <w:sz w:val="24"/>
                <w:szCs w:val="24"/>
              </w:rPr>
            </w:pPr>
            <w:r>
              <w:rPr>
                <w:rFonts w:hint="eastAsia" w:ascii="方正仿宋_GBK"/>
                <w:b w:val="0"/>
                <w:bCs w:val="0"/>
                <w:kern w:val="0"/>
                <w:sz w:val="24"/>
                <w:szCs w:val="24"/>
              </w:rPr>
              <w:t>5.34%</w:t>
            </w:r>
          </w:p>
        </w:tc>
        <w:tc>
          <w:tcPr>
            <w:tcW w:w="1916"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hint="eastAsia" w:ascii="方正仿宋_GBK"/>
                <w:b w:val="0"/>
                <w:bCs w:val="0"/>
                <w:kern w:val="0"/>
                <w:sz w:val="24"/>
                <w:szCs w:val="24"/>
              </w:rPr>
            </w:pPr>
            <w:r>
              <w:rPr>
                <w:rFonts w:hint="eastAsia" w:ascii="方正仿宋_GBK"/>
                <w:b w:val="0"/>
                <w:bCs w:val="0"/>
                <w:kern w:val="0"/>
                <w:sz w:val="24"/>
                <w:szCs w:val="24"/>
              </w:rPr>
              <w:t>0.78个百分点</w:t>
            </w:r>
          </w:p>
        </w:tc>
      </w:tr>
      <w:tr>
        <w:tblPrEx>
          <w:tblCellMar>
            <w:top w:w="57" w:type="dxa"/>
            <w:left w:w="68" w:type="dxa"/>
            <w:bottom w:w="57" w:type="dxa"/>
            <w:right w:w="68" w:type="dxa"/>
          </w:tblCellMar>
        </w:tblPrEx>
        <w:trPr>
          <w:trHeight w:val="534" w:hRule="atLeast"/>
          <w:jc w:val="center"/>
        </w:trPr>
        <w:tc>
          <w:tcPr>
            <w:tcW w:w="5066" w:type="dxa"/>
            <w:tcBorders>
              <w:top w:val="single" w:color="000000" w:sz="4" w:space="0"/>
              <w:left w:val="single" w:color="000000" w:sz="4" w:space="0"/>
              <w:bottom w:val="single" w:color="000000" w:sz="4" w:space="0"/>
              <w:right w:val="single" w:color="000000" w:sz="4" w:space="0"/>
            </w:tcBorders>
          </w:tcPr>
          <w:p>
            <w:pPr>
              <w:widowControl w:val="0"/>
              <w:snapToGrid w:val="0"/>
              <w:spacing w:line="240" w:lineRule="auto"/>
              <w:rPr>
                <w:rFonts w:hint="eastAsia" w:ascii="方正仿宋_GBK"/>
                <w:b w:val="0"/>
                <w:bCs w:val="0"/>
                <w:kern w:val="0"/>
                <w:sz w:val="24"/>
                <w:szCs w:val="24"/>
              </w:rPr>
            </w:pPr>
            <w:r>
              <w:rPr>
                <w:rFonts w:hint="eastAsia" w:ascii="方正仿宋_GBK"/>
                <w:b w:val="0"/>
                <w:bCs w:val="0"/>
                <w:kern w:val="0"/>
                <w:sz w:val="24"/>
                <w:szCs w:val="24"/>
              </w:rPr>
              <w:t>个体工商户经营性贷款加权平均利率</w:t>
            </w:r>
          </w:p>
        </w:tc>
        <w:tc>
          <w:tcPr>
            <w:tcW w:w="907"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hint="eastAsia" w:ascii="方正仿宋_GBK"/>
                <w:b w:val="0"/>
                <w:bCs w:val="0"/>
                <w:kern w:val="0"/>
                <w:sz w:val="24"/>
                <w:szCs w:val="24"/>
              </w:rPr>
            </w:pPr>
            <w:r>
              <w:rPr>
                <w:rFonts w:hint="eastAsia" w:ascii="方正仿宋_GBK"/>
                <w:b w:val="0"/>
                <w:bCs w:val="0"/>
                <w:kern w:val="0"/>
                <w:sz w:val="24"/>
                <w:szCs w:val="24"/>
              </w:rPr>
              <w:t>6.47%</w:t>
            </w:r>
          </w:p>
        </w:tc>
        <w:tc>
          <w:tcPr>
            <w:tcW w:w="1031"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hint="eastAsia" w:ascii="方正仿宋_GBK"/>
                <w:b w:val="0"/>
                <w:bCs w:val="0"/>
                <w:kern w:val="0"/>
                <w:sz w:val="24"/>
                <w:szCs w:val="24"/>
              </w:rPr>
            </w:pPr>
            <w:r>
              <w:rPr>
                <w:rFonts w:hint="eastAsia" w:ascii="方正仿宋_GBK"/>
                <w:b w:val="0"/>
                <w:bCs w:val="0"/>
                <w:kern w:val="0"/>
                <w:sz w:val="24"/>
                <w:szCs w:val="24"/>
              </w:rPr>
              <w:t>5.75%</w:t>
            </w:r>
          </w:p>
        </w:tc>
        <w:tc>
          <w:tcPr>
            <w:tcW w:w="1916"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hint="eastAsia" w:ascii="方正仿宋_GBK"/>
                <w:b w:val="0"/>
                <w:bCs w:val="0"/>
                <w:kern w:val="0"/>
                <w:sz w:val="24"/>
                <w:szCs w:val="24"/>
              </w:rPr>
            </w:pPr>
            <w:r>
              <w:rPr>
                <w:rFonts w:hint="eastAsia" w:ascii="方正仿宋_GBK"/>
                <w:b w:val="0"/>
                <w:bCs w:val="0"/>
                <w:kern w:val="0"/>
                <w:sz w:val="24"/>
                <w:szCs w:val="24"/>
              </w:rPr>
              <w:t>0.72个百分点</w:t>
            </w:r>
          </w:p>
        </w:tc>
      </w:tr>
    </w:tbl>
    <w:p>
      <w:pPr>
        <w:widowControl w:val="0"/>
        <w:snapToGrid w:val="0"/>
        <w:spacing w:line="276" w:lineRule="auto"/>
        <w:ind w:firstLine="640"/>
        <w:rPr>
          <w:rFonts w:ascii="方正黑体_GBK" w:hAnsi="Calibri" w:eastAsia="方正黑体_GBK" w:cs="宋体"/>
          <w:kern w:val="0"/>
          <w:szCs w:val="32"/>
        </w:rPr>
      </w:pPr>
      <w:bookmarkStart w:id="26" w:name="_Toc56640974"/>
      <w:bookmarkEnd w:id="26"/>
      <w:bookmarkStart w:id="27" w:name="_Toc56640710"/>
      <w:bookmarkEnd w:id="27"/>
      <w:bookmarkStart w:id="28" w:name="_Toc468895003"/>
      <w:bookmarkEnd w:id="28"/>
      <w:bookmarkStart w:id="29" w:name="_Toc56729928"/>
      <w:bookmarkEnd w:id="29"/>
      <w:bookmarkStart w:id="30" w:name="_Toc469573965"/>
      <w:bookmarkEnd w:id="30"/>
      <w:bookmarkStart w:id="31" w:name="_Toc5676"/>
      <w:r>
        <w:rPr>
          <w:rFonts w:hint="eastAsia" w:ascii="方正黑体_GBK" w:hAnsi="Calibri" w:eastAsia="方正黑体_GBK" w:cs="宋体"/>
          <w:kern w:val="0"/>
          <w:szCs w:val="32"/>
        </w:rPr>
        <w:t>五、金融生态</w:t>
      </w:r>
      <w:bookmarkEnd w:id="31"/>
      <w:r>
        <w:rPr>
          <w:rFonts w:hint="eastAsia" w:ascii="方正黑体_GBK" w:hAnsi="Calibri" w:eastAsia="方正黑体_GBK" w:cs="宋体"/>
          <w:kern w:val="0"/>
          <w:szCs w:val="32"/>
        </w:rPr>
        <w:t>环境持续改善</w:t>
      </w:r>
    </w:p>
    <w:p>
      <w:pPr>
        <w:widowControl w:val="0"/>
        <w:snapToGrid w:val="0"/>
        <w:spacing w:line="276" w:lineRule="auto"/>
        <w:ind w:firstLine="640" w:firstLineChars="200"/>
        <w:rPr>
          <w:rFonts w:ascii="方正仿宋_GBK"/>
          <w:kern w:val="0"/>
          <w:szCs w:val="32"/>
        </w:rPr>
      </w:pPr>
      <w:r>
        <w:rPr>
          <w:rFonts w:hint="eastAsia" w:ascii="方正仿宋_GBK"/>
          <w:kern w:val="0"/>
          <w:szCs w:val="32"/>
        </w:rPr>
        <w:t>“十三五”时期，永川区</w:t>
      </w:r>
      <w:r>
        <w:rPr>
          <w:rFonts w:ascii="方正仿宋_GBK"/>
          <w:kern w:val="0"/>
          <w:szCs w:val="32"/>
        </w:rPr>
        <w:t>不断完善工作机制，持续营造良好的金融生态环境。成立了永川区金融工作领导小组，统筹推进全区金融工作，保障全区金融业高质量发展；建立了政银企事项协调办理机制，协调处理辖内银行和企业融资难题；建立了永川区便捷服务中小企业融资工作机制，提升企业融资便利度。积极发挥债委会作用，提升不良贷款化解合力。全区共组建债委会54家，融资余额277.84亿元，除1家关注类企业外，监测企业未发现风险信号，总体运行平稳。截至2020年末，全区银行业金融机构不良贷款余额6.96亿元，不良率0.97%，低于全市同期不良率平均水平0.51个百分点。在确保永川区金融业快速发展的同时，守住了不发生系统性金融风险的底线，有效维护了区域安全稳定的大局。</w:t>
      </w:r>
    </w:p>
    <w:p>
      <w:pPr>
        <w:widowControl w:val="0"/>
        <w:snapToGrid w:val="0"/>
        <w:spacing w:line="276" w:lineRule="auto"/>
        <w:ind w:firstLine="640" w:firstLineChars="200"/>
        <w:rPr>
          <w:rFonts w:hint="eastAsia" w:ascii="方正仿宋_GBK"/>
          <w:kern w:val="0"/>
          <w:szCs w:val="32"/>
        </w:rPr>
      </w:pPr>
    </w:p>
    <w:p>
      <w:pPr>
        <w:widowControl w:val="0"/>
        <w:snapToGrid w:val="0"/>
        <w:spacing w:before="0" w:after="0" w:line="276" w:lineRule="auto"/>
        <w:jc w:val="center"/>
        <w:rPr>
          <w:rFonts w:ascii="方正黑体_GBK" w:hAnsi="Calibri" w:eastAsia="方正黑体_GBK" w:cs="宋体"/>
          <w:kern w:val="0"/>
          <w:szCs w:val="32"/>
        </w:rPr>
      </w:pPr>
      <w:bookmarkStart w:id="32" w:name="_Toc1222"/>
      <w:bookmarkEnd w:id="32"/>
      <w:r>
        <w:rPr>
          <w:rFonts w:hint="eastAsia" w:ascii="方正黑体_GBK" w:hAnsi="Calibri" w:eastAsia="方正黑体_GBK" w:cs="宋体"/>
          <w:kern w:val="0"/>
          <w:szCs w:val="32"/>
        </w:rPr>
        <w:t>第二节  面临形势</w:t>
      </w:r>
    </w:p>
    <w:p>
      <w:pPr>
        <w:widowControl w:val="0"/>
        <w:snapToGrid w:val="0"/>
        <w:spacing w:line="276" w:lineRule="auto"/>
        <w:ind w:firstLine="640"/>
        <w:rPr>
          <w:rFonts w:ascii="方正仿宋_GBK"/>
          <w:kern w:val="0"/>
          <w:szCs w:val="32"/>
        </w:rPr>
      </w:pPr>
      <w:bookmarkStart w:id="33" w:name="_Toc54271079"/>
      <w:bookmarkEnd w:id="33"/>
    </w:p>
    <w:p>
      <w:pPr>
        <w:widowControl w:val="0"/>
        <w:snapToGrid w:val="0"/>
        <w:spacing w:line="276" w:lineRule="auto"/>
        <w:ind w:firstLine="640"/>
        <w:rPr>
          <w:rFonts w:hint="eastAsia" w:ascii="方正仿宋_GBK"/>
          <w:kern w:val="0"/>
          <w:szCs w:val="32"/>
        </w:rPr>
      </w:pPr>
      <w:r>
        <w:rPr>
          <w:rFonts w:ascii="方正仿宋_GBK"/>
          <w:kern w:val="0"/>
          <w:szCs w:val="32"/>
        </w:rPr>
        <w:t>未来五年，永川区金融业发展既迎来新趋势、新机遇，也面临新问题、新挑战，总体上机遇大于挑战。</w:t>
      </w:r>
    </w:p>
    <w:p>
      <w:pPr>
        <w:widowControl w:val="0"/>
        <w:snapToGrid w:val="0"/>
        <w:spacing w:line="276" w:lineRule="auto"/>
        <w:ind w:firstLine="640"/>
        <w:rPr>
          <w:rFonts w:ascii="方正黑体_GBK" w:hAnsi="Calibri" w:eastAsia="方正黑体_GBK" w:cs="宋体"/>
          <w:kern w:val="0"/>
          <w:szCs w:val="32"/>
        </w:rPr>
      </w:pPr>
      <w:bookmarkStart w:id="34" w:name="_Toc56729930"/>
      <w:bookmarkEnd w:id="34"/>
      <w:bookmarkStart w:id="35" w:name="_Toc56640976"/>
      <w:bookmarkEnd w:id="35"/>
      <w:bookmarkStart w:id="36" w:name="_Toc56460262"/>
      <w:bookmarkEnd w:id="36"/>
      <w:bookmarkStart w:id="37" w:name="_Toc18492"/>
      <w:bookmarkEnd w:id="37"/>
      <w:bookmarkStart w:id="38" w:name="_Toc56640712"/>
      <w:r>
        <w:rPr>
          <w:rFonts w:hint="eastAsia" w:ascii="方正黑体_GBK" w:hAnsi="Calibri" w:eastAsia="方正黑体_GBK" w:cs="宋体"/>
          <w:kern w:val="0"/>
          <w:szCs w:val="32"/>
        </w:rPr>
        <w:t>一、发展机遇</w:t>
      </w:r>
      <w:bookmarkEnd w:id="38"/>
    </w:p>
    <w:p>
      <w:pPr>
        <w:widowControl w:val="0"/>
        <w:snapToGrid w:val="0"/>
        <w:spacing w:line="276" w:lineRule="auto"/>
        <w:ind w:firstLine="640" w:firstLineChars="200"/>
        <w:rPr>
          <w:rFonts w:hint="eastAsia" w:ascii="方正仿宋_GBK"/>
          <w:kern w:val="0"/>
          <w:szCs w:val="32"/>
        </w:rPr>
      </w:pPr>
      <w:r>
        <w:rPr>
          <w:rFonts w:ascii="方正仿宋_GBK"/>
          <w:kern w:val="0"/>
          <w:szCs w:val="32"/>
        </w:rPr>
        <w:t>尽管我国发展环境面临深刻复杂变化，当前和今后一个时期，我国发展仍然处于重要战略机遇期，但机遇和挑战都有新的发展变化</w:t>
      </w:r>
      <w:r>
        <w:rPr>
          <w:rFonts w:hint="eastAsia" w:ascii="方正仿宋_GBK"/>
          <w:kern w:val="0"/>
          <w:szCs w:val="32"/>
        </w:rPr>
        <w:t>。“十四五”时期，我国将以</w:t>
      </w:r>
      <w:r>
        <w:rPr>
          <w:rFonts w:ascii="方正仿宋_GBK"/>
          <w:kern w:val="0"/>
          <w:szCs w:val="32"/>
        </w:rPr>
        <w:t>推动高质量发展为主题，加快建设现代化经济体系，加快构建以国内大循环为主体、国内国际双循环相互促进的新发展格局。金融要主动适应经济形势变化，更好满足新发展格局下经济发展的需要，构建有效支持实体经济发展的体制机制，不断提升金融科技水平，增强金融普惠性；深化国有商业银行改革，改革优化政策性金融；增强资本市场枢纽功能，提高直接融资比重；推进金融双向开放，完善地方金融监管制度。</w:t>
      </w:r>
    </w:p>
    <w:p>
      <w:pPr>
        <w:widowControl w:val="0"/>
        <w:snapToGrid w:val="0"/>
        <w:spacing w:line="276" w:lineRule="auto"/>
        <w:ind w:firstLine="640" w:firstLineChars="200"/>
        <w:rPr>
          <w:rFonts w:ascii="方正仿宋_GBK"/>
          <w:kern w:val="0"/>
          <w:szCs w:val="32"/>
        </w:rPr>
      </w:pPr>
      <w:r>
        <w:rPr>
          <w:rFonts w:ascii="方正仿宋_GBK"/>
          <w:kern w:val="0"/>
          <w:szCs w:val="32"/>
        </w:rPr>
        <w:t>当前，重庆正抢抓机遇，深化金融改革。推动共建西部金融中心，加快建设立足西部、面向东盟的内陆国际金融中心步伐。全市依托稳步提升的经济金融实力，</w:t>
      </w:r>
      <w:r>
        <w:rPr>
          <w:rFonts w:hint="eastAsia" w:ascii="方正仿宋_GBK"/>
          <w:kern w:val="0"/>
          <w:szCs w:val="32"/>
        </w:rPr>
        <w:t>抢抓“一带一路”、国</w:t>
      </w:r>
      <w:r>
        <w:rPr>
          <w:rFonts w:ascii="方正仿宋_GBK"/>
          <w:kern w:val="0"/>
          <w:szCs w:val="32"/>
        </w:rPr>
        <w:t>际陆海贸易新通道、中国（重庆）自由贸易试验区、中新（重庆）战略性互联互通示范项目、成渝地区双城经济圈建设等重大战略机遇，为永川区加强金融业发展创造了有利条件。</w:t>
      </w:r>
    </w:p>
    <w:p>
      <w:pPr>
        <w:widowControl w:val="0"/>
        <w:snapToGrid w:val="0"/>
        <w:spacing w:line="276" w:lineRule="auto"/>
        <w:ind w:firstLine="640" w:firstLineChars="200"/>
        <w:rPr>
          <w:rFonts w:ascii="方正仿宋_GBK"/>
          <w:kern w:val="0"/>
          <w:szCs w:val="32"/>
        </w:rPr>
      </w:pPr>
      <w:r>
        <w:rPr>
          <w:rFonts w:ascii="方正仿宋_GBK"/>
          <w:kern w:val="0"/>
          <w:szCs w:val="32"/>
        </w:rPr>
        <w:t>永川区正大</w:t>
      </w:r>
      <w:r>
        <w:rPr>
          <w:rFonts w:hint="eastAsia" w:ascii="方正仿宋_GBK"/>
          <w:kern w:val="0"/>
          <w:szCs w:val="32"/>
        </w:rPr>
        <w:t>力推进“双百”区域性中</w:t>
      </w:r>
      <w:r>
        <w:rPr>
          <w:rFonts w:ascii="方正仿宋_GBK"/>
          <w:kern w:val="0"/>
          <w:szCs w:val="32"/>
        </w:rPr>
        <w:t>心城市建设。</w:t>
      </w:r>
      <w:r>
        <w:rPr>
          <w:rFonts w:hint="eastAsia" w:ascii="方正仿宋_GBK"/>
          <w:kern w:val="0"/>
          <w:szCs w:val="32"/>
        </w:rPr>
        <w:t>围绕“高质量发展先行区、高品质生活示范区”目标，紧扣“成渝地区双城经济圈重要节点、重庆主城都市区战略支点”两大定位，加快推动主城都市区一体化发展，着力发挥节点和支点城市功</w:t>
      </w:r>
      <w:r>
        <w:rPr>
          <w:rFonts w:ascii="方正仿宋_GBK"/>
          <w:kern w:val="0"/>
          <w:szCs w:val="32"/>
        </w:rPr>
        <w:t>能作用。直辖以来，全区经济持续保持两位数增长，2020年实现地区生产总值1012.37亿元，增速4.6%，增速位列</w:t>
      </w:r>
      <w:r>
        <w:rPr>
          <w:rFonts w:hint="eastAsia" w:ascii="方正仿宋_GBK"/>
          <w:kern w:val="0"/>
          <w:szCs w:val="32"/>
        </w:rPr>
        <w:t>全市第三位，为“十四五”时期永川区金融业发展奠</w:t>
      </w:r>
      <w:r>
        <w:rPr>
          <w:rFonts w:ascii="方正仿宋_GBK"/>
          <w:kern w:val="0"/>
          <w:szCs w:val="32"/>
        </w:rPr>
        <w:t>定了经济基础。</w:t>
      </w:r>
    </w:p>
    <w:p>
      <w:pPr>
        <w:widowControl w:val="0"/>
        <w:snapToGrid w:val="0"/>
        <w:spacing w:line="276" w:lineRule="auto"/>
        <w:ind w:firstLine="640"/>
        <w:rPr>
          <w:rFonts w:ascii="方正黑体_GBK" w:hAnsi="Calibri" w:eastAsia="方正黑体_GBK" w:cs="宋体"/>
          <w:kern w:val="0"/>
          <w:szCs w:val="32"/>
        </w:rPr>
      </w:pPr>
      <w:bookmarkStart w:id="39" w:name="_Toc56640713"/>
      <w:bookmarkEnd w:id="39"/>
      <w:bookmarkStart w:id="40" w:name="_Toc54271080"/>
      <w:bookmarkEnd w:id="40"/>
      <w:bookmarkStart w:id="41" w:name="_Toc56460263"/>
      <w:bookmarkEnd w:id="41"/>
      <w:bookmarkStart w:id="42" w:name="_Toc56640977"/>
      <w:bookmarkEnd w:id="42"/>
      <w:bookmarkStart w:id="43" w:name="_Toc56729931"/>
      <w:bookmarkEnd w:id="43"/>
      <w:bookmarkStart w:id="44" w:name="_Toc1209"/>
      <w:r>
        <w:rPr>
          <w:rFonts w:hint="eastAsia" w:ascii="方正黑体_GBK" w:hAnsi="Calibri" w:eastAsia="方正黑体_GBK" w:cs="宋体"/>
          <w:kern w:val="0"/>
          <w:szCs w:val="32"/>
        </w:rPr>
        <w:t>二、</w:t>
      </w:r>
      <w:bookmarkEnd w:id="44"/>
      <w:r>
        <w:rPr>
          <w:rFonts w:hint="eastAsia" w:ascii="方正黑体_GBK" w:hAnsi="Calibri" w:eastAsia="方正黑体_GBK" w:cs="宋体"/>
          <w:kern w:val="0"/>
          <w:szCs w:val="32"/>
        </w:rPr>
        <w:t>存在问题</w:t>
      </w:r>
    </w:p>
    <w:p>
      <w:pPr>
        <w:widowControl w:val="0"/>
        <w:snapToGrid w:val="0"/>
        <w:spacing w:line="276" w:lineRule="auto"/>
        <w:ind w:firstLine="640" w:firstLineChars="200"/>
        <w:rPr>
          <w:rFonts w:ascii="方正仿宋_GBK"/>
          <w:kern w:val="0"/>
          <w:szCs w:val="32"/>
        </w:rPr>
      </w:pPr>
      <w:r>
        <w:rPr>
          <w:rFonts w:ascii="方正仿宋_GBK"/>
          <w:kern w:val="0"/>
          <w:szCs w:val="32"/>
        </w:rPr>
        <w:t>尽管永川区金融业取得了长足发展，面临诸多发展机遇，但是问题和不足依然存在。一是金融业总量规模相对不够大。金融业产值规模相对较小，金融业增加值占GDP比重还未达到5%的支柱产业标准，金融业对经济发展的支撑力度亟待提升。二是区域性金融优势不突出。永川区金融业GDP占比较江津区、璧山区低0.5-1.2个百分点；存贷款余额较江津区、泸州市、内江市低500-1600亿元。与周边城市相比，永川区金融业优势相对不突出。三是新型金融业态发展相对不足。私募基金、小额贷款、融资担保、融资租赁、商业保理等新兴业态的机构数量相对较少、产业规模较小；金融科技、绿色金融、消费金融、汽车金融等与永川区产业发展相适应的特色金融发展较为滞后。四是企业融资渠道相对单一。直接融资与间接融资发展不平衡，银行贷款等间接融资占比偏大，全区仅2家企业在新三板挂牌上市，无境内外上市公司，科技创新企业融资服务体系还不完善。五是金融风险防控压力相对较大。受疫情影响，市场主体经营受阻，银行机构贷款资产质量下降，不良贷款面临集中爆发压力，债权机构及区域信用风险压力有所增加。</w:t>
      </w:r>
    </w:p>
    <w:p>
      <w:pPr>
        <w:widowControl w:val="0"/>
        <w:snapToGrid w:val="0"/>
        <w:spacing w:line="276" w:lineRule="auto"/>
        <w:ind w:firstLine="640" w:firstLineChars="200"/>
        <w:rPr>
          <w:rFonts w:hint="eastAsia" w:ascii="方正仿宋_GBK"/>
          <w:kern w:val="0"/>
          <w:szCs w:val="32"/>
        </w:rPr>
      </w:pPr>
    </w:p>
    <w:p>
      <w:pPr>
        <w:widowControl w:val="0"/>
        <w:snapToGrid w:val="0"/>
        <w:spacing w:before="0" w:after="0" w:line="276" w:lineRule="auto"/>
        <w:jc w:val="center"/>
        <w:rPr>
          <w:rFonts w:hint="eastAsia" w:ascii="方正黑体_GBK" w:hAnsi="Calibri" w:eastAsia="方正黑体_GBK" w:cs="宋体"/>
          <w:kern w:val="0"/>
          <w:sz w:val="32"/>
          <w:szCs w:val="32"/>
        </w:rPr>
      </w:pPr>
      <w:bookmarkStart w:id="45" w:name="_Toc54271081"/>
      <w:bookmarkEnd w:id="45"/>
      <w:bookmarkStart w:id="46" w:name="_Toc23700"/>
      <w:r>
        <w:rPr>
          <w:rFonts w:hint="eastAsia" w:ascii="方正黑体_GBK" w:hAnsi="Calibri" w:eastAsia="方正黑体_GBK" w:cs="宋体"/>
          <w:kern w:val="0"/>
          <w:sz w:val="32"/>
          <w:szCs w:val="32"/>
        </w:rPr>
        <w:t xml:space="preserve">第二章 </w:t>
      </w:r>
      <w:bookmarkEnd w:id="46"/>
      <w:r>
        <w:rPr>
          <w:rFonts w:hint="eastAsia" w:ascii="方正黑体_GBK" w:hAnsi="Calibri" w:eastAsia="方正黑体_GBK" w:cs="宋体"/>
          <w:kern w:val="0"/>
          <w:sz w:val="32"/>
          <w:szCs w:val="32"/>
        </w:rPr>
        <w:t xml:space="preserve"> 总体要求与发展目标</w:t>
      </w:r>
    </w:p>
    <w:p>
      <w:pPr>
        <w:widowControl w:val="0"/>
        <w:snapToGrid w:val="0"/>
        <w:spacing w:line="276" w:lineRule="auto"/>
        <w:ind w:firstLine="640"/>
        <w:rPr>
          <w:rFonts w:hint="eastAsia" w:ascii="方正仿宋_GBK"/>
          <w:kern w:val="0"/>
          <w:szCs w:val="32"/>
        </w:rPr>
      </w:pPr>
    </w:p>
    <w:p>
      <w:pPr>
        <w:widowControl w:val="0"/>
        <w:snapToGrid w:val="0"/>
        <w:spacing w:line="276" w:lineRule="auto"/>
        <w:ind w:firstLine="640"/>
        <w:rPr>
          <w:rFonts w:ascii="方正仿宋_GBK"/>
          <w:kern w:val="0"/>
          <w:szCs w:val="32"/>
        </w:rPr>
      </w:pPr>
      <w:r>
        <w:rPr>
          <w:rFonts w:hint="eastAsia" w:ascii="方正仿宋_GBK"/>
          <w:kern w:val="0"/>
          <w:szCs w:val="32"/>
        </w:rPr>
        <w:t>“十四五”时期，永川</w:t>
      </w:r>
      <w:r>
        <w:rPr>
          <w:rFonts w:ascii="方正仿宋_GBK"/>
          <w:kern w:val="0"/>
          <w:szCs w:val="32"/>
        </w:rPr>
        <w:t>区金融业将紧紧</w:t>
      </w:r>
      <w:r>
        <w:rPr>
          <w:rFonts w:hint="eastAsia" w:ascii="方正仿宋_GBK"/>
          <w:kern w:val="0"/>
          <w:szCs w:val="32"/>
        </w:rPr>
        <w:t>围绕“</w:t>
      </w:r>
      <w:r>
        <w:rPr>
          <w:rFonts w:ascii="方正仿宋_GBK"/>
          <w:kern w:val="0"/>
          <w:szCs w:val="32"/>
        </w:rPr>
        <w:t>1234</w:t>
      </w:r>
      <w:r>
        <w:rPr>
          <w:rFonts w:hint="eastAsia" w:ascii="方正仿宋_GBK"/>
          <w:kern w:val="0"/>
          <w:szCs w:val="32"/>
        </w:rPr>
        <w:t>”发</w:t>
      </w:r>
      <w:r>
        <w:rPr>
          <w:rFonts w:ascii="方正仿宋_GBK"/>
          <w:kern w:val="0"/>
          <w:szCs w:val="32"/>
        </w:rPr>
        <w:t>展战略，努力将永川区建设成为成渝地区双城经济圈区域性金融枢纽和重庆主城都市区现代化创新型金融中心。</w:t>
      </w:r>
    </w:p>
    <w:p>
      <w:pPr>
        <w:widowControl w:val="0"/>
        <w:snapToGrid w:val="0"/>
        <w:spacing w:line="276" w:lineRule="auto"/>
        <w:ind w:firstLine="640"/>
        <w:rPr>
          <w:rFonts w:hint="eastAsia" w:ascii="方正仿宋_GBK"/>
          <w:kern w:val="0"/>
          <w:szCs w:val="32"/>
        </w:rPr>
      </w:pPr>
    </w:p>
    <w:p>
      <w:pPr>
        <w:widowControl w:val="0"/>
        <w:snapToGrid w:val="0"/>
        <w:spacing w:before="0" w:after="0" w:line="276" w:lineRule="auto"/>
        <w:jc w:val="center"/>
        <w:rPr>
          <w:rFonts w:ascii="方正黑体_GBK" w:hAnsi="Calibri" w:eastAsia="方正黑体_GBK" w:cs="宋体"/>
          <w:kern w:val="0"/>
          <w:szCs w:val="32"/>
        </w:rPr>
      </w:pPr>
      <w:bookmarkStart w:id="47" w:name="_Toc1857"/>
      <w:bookmarkEnd w:id="47"/>
      <w:r>
        <w:rPr>
          <w:rFonts w:hint="eastAsia" w:ascii="方正黑体_GBK" w:hAnsi="Calibri" w:eastAsia="方正黑体_GBK" w:cs="宋体"/>
          <w:kern w:val="0"/>
          <w:szCs w:val="32"/>
        </w:rPr>
        <w:t>第一节  总体要求</w:t>
      </w:r>
    </w:p>
    <w:p>
      <w:pPr>
        <w:widowControl w:val="0"/>
        <w:snapToGrid w:val="0"/>
        <w:spacing w:line="276" w:lineRule="auto"/>
        <w:ind w:firstLine="640"/>
        <w:rPr>
          <w:rFonts w:hint="eastAsia" w:ascii="方正黑体_GBK" w:hAnsi="Calibri" w:eastAsia="方正黑体_GBK" w:cs="宋体"/>
          <w:kern w:val="0"/>
          <w:szCs w:val="32"/>
        </w:rPr>
      </w:pPr>
      <w:bookmarkStart w:id="48" w:name="_Toc8689"/>
      <w:bookmarkEnd w:id="48"/>
    </w:p>
    <w:p>
      <w:pPr>
        <w:widowControl w:val="0"/>
        <w:snapToGrid w:val="0"/>
        <w:spacing w:line="276" w:lineRule="auto"/>
        <w:ind w:firstLine="640"/>
        <w:rPr>
          <w:rFonts w:hint="eastAsia" w:ascii="方正黑体_GBK" w:hAnsi="Calibri" w:eastAsia="方正黑体_GBK" w:cs="宋体"/>
          <w:kern w:val="0"/>
          <w:szCs w:val="32"/>
        </w:rPr>
      </w:pPr>
      <w:r>
        <w:rPr>
          <w:rFonts w:hint="eastAsia" w:ascii="方正黑体_GBK" w:hAnsi="Calibri" w:eastAsia="方正黑体_GBK" w:cs="宋体"/>
          <w:kern w:val="0"/>
          <w:szCs w:val="32"/>
        </w:rPr>
        <w:t>一、指导思想</w:t>
      </w:r>
    </w:p>
    <w:p>
      <w:pPr>
        <w:widowControl w:val="0"/>
        <w:snapToGrid w:val="0"/>
        <w:spacing w:line="276" w:lineRule="auto"/>
        <w:ind w:firstLine="640" w:firstLineChars="200"/>
        <w:rPr>
          <w:rFonts w:hint="eastAsia" w:ascii="方正仿宋_GBK"/>
          <w:kern w:val="0"/>
          <w:szCs w:val="32"/>
        </w:rPr>
      </w:pPr>
      <w:r>
        <w:rPr>
          <w:rFonts w:ascii="方正仿宋_GBK"/>
          <w:kern w:val="0"/>
          <w:szCs w:val="32"/>
        </w:rPr>
        <w:t>以党的十九大和十九届二中、三中、四中、五中全会精神为指导，深入贯彻习近平新时代中国特色社会主义思想，以及对重庆</w:t>
      </w:r>
      <w:r>
        <w:rPr>
          <w:rFonts w:hint="eastAsia" w:ascii="方正仿宋_GBK"/>
          <w:kern w:val="0"/>
          <w:szCs w:val="32"/>
        </w:rPr>
        <w:t>提出的“两点”定位、“两地”“两高”目标、发挥“三个作用”和营造良好政治生态的重要指示要求，坚持稳中求进工作总基</w:t>
      </w:r>
      <w:r>
        <w:rPr>
          <w:rFonts w:ascii="方正仿宋_GBK"/>
          <w:kern w:val="0"/>
          <w:szCs w:val="32"/>
        </w:rPr>
        <w:t>调，立足新发展阶段，贯彻新发展理念，构建新发展格局，以推动高质量发展为</w:t>
      </w:r>
      <w:r>
        <w:rPr>
          <w:rFonts w:hint="eastAsia" w:ascii="方正仿宋_GBK"/>
          <w:kern w:val="0"/>
          <w:szCs w:val="32"/>
        </w:rPr>
        <w:t>主题，立足“成渝地区双城经济圈重要节点、主城都市区战略支点”两大定位，紧紧围绕“</w:t>
      </w:r>
      <w:r>
        <w:rPr>
          <w:rFonts w:ascii="方正仿宋_GBK"/>
          <w:kern w:val="0"/>
          <w:szCs w:val="32"/>
        </w:rPr>
        <w:t>1234</w:t>
      </w:r>
      <w:r>
        <w:rPr>
          <w:rFonts w:hint="eastAsia" w:ascii="方正仿宋_GBK"/>
          <w:kern w:val="0"/>
          <w:szCs w:val="32"/>
        </w:rPr>
        <w:t>”发展战略，即：建设一个区域性开放高地，</w:t>
      </w:r>
      <w:r>
        <w:rPr>
          <w:rFonts w:ascii="方正仿宋_GBK"/>
          <w:kern w:val="0"/>
          <w:szCs w:val="32"/>
        </w:rPr>
        <w:t>支撑成渝地区</w:t>
      </w:r>
      <w:r>
        <w:rPr>
          <w:rFonts w:hint="eastAsia" w:ascii="方正仿宋_GBK"/>
          <w:kern w:val="0"/>
          <w:szCs w:val="32"/>
        </w:rPr>
        <w:t>双城经济圈“中部崛起”</w:t>
      </w:r>
      <w:r>
        <w:rPr>
          <w:rFonts w:ascii="方正仿宋_GBK"/>
          <w:kern w:val="0"/>
          <w:szCs w:val="32"/>
        </w:rPr>
        <w:t>；推动实现金融与产业、金融与科技深度融合，争创产融合作和金融科技两项先行试点；持续推进金融业态、金融功能和金融服务三大金融体系建设，提质现代金融业；积极推动供应链金融、绿色金融、文旅金融、普惠金融四大创新示范区建设，增强金融服务实体经济效能。通过不断提升金融机构、产品、服务、创新、开放、人才、生态等要素集聚和辐射能级，努力将永川区建设成为成渝地区双城经济圈区域性金融枢纽和重庆主城都市区现代化创新型金融中心。</w:t>
      </w:r>
    </w:p>
    <w:p>
      <w:pPr>
        <w:widowControl w:val="0"/>
        <w:snapToGrid w:val="0"/>
        <w:spacing w:line="276" w:lineRule="auto"/>
        <w:ind w:firstLine="640"/>
        <w:rPr>
          <w:rFonts w:ascii="方正黑体_GBK" w:hAnsi="Calibri" w:eastAsia="方正黑体_GBK" w:cs="宋体"/>
          <w:kern w:val="0"/>
          <w:szCs w:val="32"/>
        </w:rPr>
      </w:pPr>
      <w:bookmarkStart w:id="49" w:name="_Toc11627"/>
      <w:bookmarkEnd w:id="49"/>
      <w:r>
        <w:rPr>
          <w:rFonts w:hint="eastAsia" w:ascii="方正黑体_GBK" w:hAnsi="Calibri" w:eastAsia="方正黑体_GBK" w:cs="宋体"/>
          <w:kern w:val="0"/>
          <w:szCs w:val="32"/>
        </w:rPr>
        <w:t>二、基本原则</w:t>
      </w:r>
    </w:p>
    <w:p>
      <w:pPr>
        <w:widowControl w:val="0"/>
        <w:snapToGrid w:val="0"/>
        <w:spacing w:line="276" w:lineRule="auto"/>
        <w:ind w:firstLine="640" w:firstLineChars="200"/>
        <w:rPr>
          <w:rFonts w:hint="eastAsia" w:ascii="方正仿宋_GBK"/>
          <w:kern w:val="0"/>
          <w:szCs w:val="32"/>
        </w:rPr>
      </w:pPr>
      <w:r>
        <w:rPr>
          <w:rFonts w:ascii="方正仿宋_GBK"/>
          <w:kern w:val="0"/>
          <w:szCs w:val="32"/>
        </w:rPr>
        <w:t>——坚持市场主导，合理配置资源。正确处理政府与市场关系，发挥市场在金融资源配置中的决定性作用，优化投融资结构、提高信贷质量，优化金融组织结构、市场结构和布局结构，合理配置金融资源，实现发展质量、结构、规模、速度、效益、安全相统一。</w:t>
      </w:r>
    </w:p>
    <w:p>
      <w:pPr>
        <w:widowControl w:val="0"/>
        <w:snapToGrid w:val="0"/>
        <w:spacing w:line="276" w:lineRule="auto"/>
        <w:ind w:firstLine="640" w:firstLineChars="200"/>
        <w:rPr>
          <w:rFonts w:ascii="方正仿宋_GBK"/>
          <w:kern w:val="0"/>
          <w:szCs w:val="32"/>
        </w:rPr>
      </w:pPr>
      <w:r>
        <w:rPr>
          <w:rFonts w:ascii="方正仿宋_GBK"/>
          <w:kern w:val="0"/>
          <w:szCs w:val="32"/>
        </w:rPr>
        <w:t>——坚持高质量发展，服务实体经济。以推动金融业高质量发展为主题，坚持对外开放，持续增强全区金融业发展动力和活力，切实提升金融服务实体经济能力，不断加大不同类型产业、不同规模企业的金融支持力度，实现金融产业与实体产业的高质量同频发展。</w:t>
      </w:r>
    </w:p>
    <w:p>
      <w:pPr>
        <w:widowControl w:val="0"/>
        <w:snapToGrid w:val="0"/>
        <w:spacing w:line="276" w:lineRule="auto"/>
        <w:ind w:firstLine="640" w:firstLineChars="200"/>
        <w:rPr>
          <w:rFonts w:ascii="方正仿宋_GBK"/>
          <w:kern w:val="0"/>
          <w:szCs w:val="32"/>
        </w:rPr>
      </w:pPr>
      <w:r>
        <w:rPr>
          <w:rFonts w:ascii="方正仿宋_GBK"/>
          <w:kern w:val="0"/>
          <w:szCs w:val="32"/>
        </w:rPr>
        <w:t>——发挥支点作用，辐射区域发展。立</w:t>
      </w:r>
      <w:r>
        <w:rPr>
          <w:rFonts w:hint="eastAsia" w:ascii="方正仿宋_GBK"/>
          <w:kern w:val="0"/>
          <w:szCs w:val="32"/>
        </w:rPr>
        <w:t>足“成渝地区双城经济圈区域性金融枢纽和重庆主城都市区现代化创新型金融中心”发展定位，不断增强永川区的区域性支点作用，提升金融资源</w:t>
      </w:r>
      <w:r>
        <w:rPr>
          <w:rFonts w:ascii="方正仿宋_GBK"/>
          <w:kern w:val="0"/>
          <w:szCs w:val="32"/>
        </w:rPr>
        <w:t>的集聚程度、金融能级和辐射能力，与周边城市密切合作，实现开放、协调与共享发展。</w:t>
      </w:r>
    </w:p>
    <w:p>
      <w:pPr>
        <w:widowControl w:val="0"/>
        <w:snapToGrid w:val="0"/>
        <w:spacing w:line="276" w:lineRule="auto"/>
        <w:ind w:firstLine="640" w:firstLineChars="200"/>
        <w:rPr>
          <w:rFonts w:ascii="方正仿宋_GBK"/>
          <w:kern w:val="0"/>
          <w:szCs w:val="32"/>
        </w:rPr>
      </w:pPr>
      <w:r>
        <w:rPr>
          <w:rFonts w:ascii="方正仿宋_GBK"/>
          <w:kern w:val="0"/>
          <w:szCs w:val="32"/>
        </w:rPr>
        <w:t>——坚持底线思维，防范金融风险。以防范系统性、区域性金融风险为监管底线，加强风险识别、动态</w:t>
      </w:r>
      <w:r>
        <w:rPr>
          <w:rFonts w:hint="eastAsia" w:ascii="方正仿宋_GBK"/>
          <w:kern w:val="0"/>
          <w:szCs w:val="32"/>
        </w:rPr>
        <w:t>监测，“分类施策、精准拆弹”，有序处置重点领域</w:t>
      </w:r>
      <w:r>
        <w:rPr>
          <w:rFonts w:ascii="方正仿宋_GBK"/>
          <w:kern w:val="0"/>
          <w:szCs w:val="32"/>
        </w:rPr>
        <w:t>突出风险。同时，在合规范围内实现金融创新与金融监管的油门和刹车平衡协调，实现稳增长和防风险长期均衡。</w:t>
      </w:r>
    </w:p>
    <w:p>
      <w:pPr>
        <w:widowControl w:val="0"/>
        <w:snapToGrid w:val="0"/>
        <w:spacing w:line="276" w:lineRule="auto"/>
        <w:ind w:firstLine="640" w:firstLineChars="200"/>
        <w:rPr>
          <w:rFonts w:ascii="方正仿宋_GBK"/>
          <w:kern w:val="0"/>
          <w:szCs w:val="32"/>
        </w:rPr>
      </w:pPr>
    </w:p>
    <w:p>
      <w:pPr>
        <w:widowControl w:val="0"/>
        <w:snapToGrid w:val="0"/>
        <w:spacing w:before="0" w:after="0" w:line="276" w:lineRule="auto"/>
        <w:jc w:val="center"/>
        <w:rPr>
          <w:rFonts w:ascii="方正黑体_GBK" w:hAnsi="Calibri" w:eastAsia="方正黑体_GBK" w:cs="宋体"/>
          <w:kern w:val="0"/>
          <w:szCs w:val="32"/>
        </w:rPr>
      </w:pPr>
      <w:bookmarkStart w:id="50" w:name="_Toc54271084"/>
      <w:bookmarkEnd w:id="50"/>
      <w:bookmarkStart w:id="51" w:name="_Toc13645"/>
      <w:r>
        <w:rPr>
          <w:rFonts w:hint="eastAsia" w:ascii="方正黑体_GBK" w:hAnsi="Calibri" w:eastAsia="方正黑体_GBK" w:cs="宋体"/>
          <w:kern w:val="0"/>
          <w:szCs w:val="32"/>
        </w:rPr>
        <w:t>第二节</w:t>
      </w:r>
      <w:bookmarkEnd w:id="51"/>
      <w:r>
        <w:rPr>
          <w:rFonts w:hint="eastAsia" w:ascii="方正黑体_GBK" w:hAnsi="Calibri" w:eastAsia="方正黑体_GBK" w:cs="宋体"/>
          <w:kern w:val="0"/>
          <w:szCs w:val="32"/>
        </w:rPr>
        <w:t xml:space="preserve">  发展目标</w:t>
      </w:r>
    </w:p>
    <w:p>
      <w:pPr>
        <w:widowControl w:val="0"/>
        <w:snapToGrid w:val="0"/>
        <w:spacing w:line="276" w:lineRule="auto"/>
        <w:ind w:firstLine="640"/>
        <w:rPr>
          <w:rFonts w:hint="eastAsia" w:ascii="方正黑体_GBK" w:hAnsi="Calibri" w:eastAsia="方正黑体_GBK" w:cs="宋体"/>
          <w:kern w:val="0"/>
          <w:szCs w:val="32"/>
        </w:rPr>
      </w:pPr>
      <w:bookmarkStart w:id="52" w:name="_Toc10215"/>
      <w:bookmarkEnd w:id="52"/>
    </w:p>
    <w:p>
      <w:pPr>
        <w:widowControl w:val="0"/>
        <w:snapToGrid w:val="0"/>
        <w:spacing w:line="276" w:lineRule="auto"/>
        <w:ind w:firstLine="640"/>
        <w:rPr>
          <w:rFonts w:hint="eastAsia" w:ascii="方正黑体_GBK" w:hAnsi="Calibri" w:eastAsia="方正黑体_GBK" w:cs="宋体"/>
          <w:kern w:val="0"/>
          <w:szCs w:val="32"/>
        </w:rPr>
      </w:pPr>
      <w:r>
        <w:rPr>
          <w:rFonts w:hint="eastAsia" w:ascii="方正黑体_GBK" w:hAnsi="Calibri" w:eastAsia="方正黑体_GBK" w:cs="宋体"/>
          <w:kern w:val="0"/>
          <w:szCs w:val="32"/>
        </w:rPr>
        <w:t>一、总体目标</w:t>
      </w:r>
    </w:p>
    <w:p>
      <w:pPr>
        <w:widowControl w:val="0"/>
        <w:snapToGrid w:val="0"/>
        <w:spacing w:line="276" w:lineRule="auto"/>
        <w:ind w:firstLine="640" w:firstLineChars="200"/>
        <w:rPr>
          <w:rFonts w:hint="eastAsia" w:ascii="方正仿宋_GBK"/>
          <w:kern w:val="0"/>
          <w:szCs w:val="32"/>
          <w:u w:val="none"/>
        </w:rPr>
      </w:pPr>
      <w:r>
        <w:rPr>
          <w:rFonts w:ascii="方正仿宋_GBK"/>
          <w:kern w:val="0"/>
          <w:szCs w:val="32"/>
          <w:u w:val="none"/>
        </w:rPr>
        <w:t>到2025年，永川</w:t>
      </w:r>
      <w:r>
        <w:rPr>
          <w:rFonts w:hint="eastAsia" w:ascii="方正仿宋_GBK"/>
          <w:kern w:val="0"/>
          <w:szCs w:val="32"/>
          <w:u w:val="none"/>
        </w:rPr>
        <w:t>区金融业综合实力显著增强，实现金融业增加值、存款余额、贷款余额三个“翻一番”以及境内外上市企业一个“零突破”，实现基金规模一个“50亿元”和金融生</w:t>
      </w:r>
      <w:r>
        <w:rPr>
          <w:rFonts w:ascii="方正仿宋_GBK"/>
          <w:kern w:val="0"/>
          <w:szCs w:val="32"/>
          <w:u w:val="none"/>
        </w:rPr>
        <w:t>态</w:t>
      </w:r>
      <w:r>
        <w:rPr>
          <w:rFonts w:hint="eastAsia" w:ascii="方正仿宋_GBK"/>
          <w:kern w:val="0"/>
          <w:szCs w:val="32"/>
          <w:u w:val="none"/>
        </w:rPr>
        <w:t>三个“不低于”，金融集聚程度、金融能级和区域辐射能力大幅提升，建设成为成渝地区双城经济圈区域性金融枢纽和重庆主城都市区现代化创新型金融</w:t>
      </w:r>
      <w:r>
        <w:rPr>
          <w:rFonts w:ascii="方正仿宋_GBK"/>
          <w:kern w:val="0"/>
          <w:szCs w:val="32"/>
          <w:u w:val="none"/>
        </w:rPr>
        <w:t>中心。</w:t>
      </w:r>
    </w:p>
    <w:p>
      <w:pPr>
        <w:widowControl w:val="0"/>
        <w:snapToGrid w:val="0"/>
        <w:spacing w:line="276" w:lineRule="auto"/>
        <w:ind w:firstLine="640" w:firstLineChars="200"/>
        <w:rPr>
          <w:rFonts w:ascii="方正仿宋_GBK"/>
          <w:kern w:val="0"/>
          <w:szCs w:val="32"/>
          <w:u w:val="none"/>
        </w:rPr>
      </w:pPr>
      <w:bookmarkStart w:id="53" w:name="_Toc434417537"/>
      <w:bookmarkEnd w:id="53"/>
      <w:r>
        <w:rPr>
          <w:rFonts w:ascii="方正仿宋_GBK"/>
          <w:kern w:val="0"/>
          <w:szCs w:val="32"/>
          <w:u w:val="none"/>
        </w:rPr>
        <w:t>——金融总量持续增长，实现三</w:t>
      </w:r>
      <w:r>
        <w:rPr>
          <w:rFonts w:hint="eastAsia" w:ascii="方正仿宋_GBK"/>
          <w:kern w:val="0"/>
          <w:szCs w:val="32"/>
          <w:u w:val="none"/>
        </w:rPr>
        <w:t>个“倍增”</w:t>
      </w:r>
      <w:r>
        <w:rPr>
          <w:rFonts w:ascii="方正仿宋_GBK"/>
          <w:kern w:val="0"/>
          <w:szCs w:val="32"/>
          <w:u w:val="none"/>
        </w:rPr>
        <w:t>。到2025年，永川区金融业增加值达</w:t>
      </w:r>
      <w:r>
        <w:rPr>
          <w:rFonts w:hint="eastAsia" w:ascii="方正仿宋_GBK"/>
          <w:kern w:val="0"/>
          <w:szCs w:val="32"/>
          <w:u w:val="none"/>
        </w:rPr>
        <w:t>90</w:t>
      </w:r>
      <w:r>
        <w:rPr>
          <w:rFonts w:ascii="方正仿宋_GBK"/>
          <w:kern w:val="0"/>
          <w:szCs w:val="32"/>
          <w:u w:val="none"/>
        </w:rPr>
        <w:t>亿元，占地区生产总值比重达</w:t>
      </w:r>
      <w:r>
        <w:rPr>
          <w:rFonts w:hint="eastAsia" w:ascii="方正仿宋_GBK"/>
          <w:kern w:val="0"/>
          <w:szCs w:val="32"/>
          <w:u w:val="none"/>
        </w:rPr>
        <w:t>6</w:t>
      </w:r>
      <w:r>
        <w:rPr>
          <w:rFonts w:ascii="方正仿宋_GBK"/>
          <w:kern w:val="0"/>
          <w:szCs w:val="32"/>
          <w:u w:val="none"/>
        </w:rPr>
        <w:t>%以上，成为全区支柱产业；新增社会融资规模达</w:t>
      </w:r>
      <w:r>
        <w:rPr>
          <w:rFonts w:hint="eastAsia" w:ascii="方正仿宋_GBK"/>
          <w:kern w:val="0"/>
          <w:szCs w:val="32"/>
          <w:u w:val="none"/>
        </w:rPr>
        <w:t>500亿元，与GDP之比超三分之一；</w:t>
      </w:r>
      <w:r>
        <w:rPr>
          <w:rFonts w:ascii="方正仿宋_GBK"/>
          <w:kern w:val="0"/>
          <w:szCs w:val="32"/>
          <w:u w:val="none"/>
        </w:rPr>
        <w:t>存款余额年均增长</w:t>
      </w:r>
      <w:r>
        <w:rPr>
          <w:rFonts w:hint="eastAsia" w:ascii="方正仿宋_GBK"/>
          <w:kern w:val="0"/>
          <w:szCs w:val="32"/>
          <w:u w:val="none"/>
        </w:rPr>
        <w:t>15</w:t>
      </w:r>
      <w:r>
        <w:rPr>
          <w:rFonts w:ascii="方正仿宋_GBK"/>
          <w:kern w:val="0"/>
          <w:szCs w:val="32"/>
          <w:u w:val="none"/>
        </w:rPr>
        <w:t>%，达</w:t>
      </w:r>
      <w:r>
        <w:rPr>
          <w:rFonts w:hint="eastAsia" w:ascii="方正仿宋_GBK"/>
          <w:kern w:val="0"/>
          <w:szCs w:val="32"/>
          <w:u w:val="none"/>
        </w:rPr>
        <w:t>1600</w:t>
      </w:r>
      <w:r>
        <w:rPr>
          <w:rFonts w:ascii="方正仿宋_GBK"/>
          <w:kern w:val="0"/>
          <w:szCs w:val="32"/>
          <w:u w:val="none"/>
        </w:rPr>
        <w:t>亿元</w:t>
      </w:r>
      <w:r>
        <w:rPr>
          <w:rFonts w:hint="eastAsia" w:ascii="方正仿宋_GBK"/>
          <w:kern w:val="0"/>
          <w:szCs w:val="32"/>
          <w:u w:val="none"/>
        </w:rPr>
        <w:t>；贷款</w:t>
      </w:r>
      <w:r>
        <w:rPr>
          <w:rFonts w:ascii="方正仿宋_GBK"/>
          <w:kern w:val="0"/>
          <w:szCs w:val="32"/>
          <w:u w:val="none"/>
        </w:rPr>
        <w:t>余额年均增长</w:t>
      </w:r>
      <w:r>
        <w:rPr>
          <w:rFonts w:hint="eastAsia" w:ascii="方正仿宋_GBK"/>
          <w:kern w:val="0"/>
          <w:szCs w:val="32"/>
          <w:u w:val="none"/>
        </w:rPr>
        <w:t>15</w:t>
      </w:r>
      <w:r>
        <w:rPr>
          <w:rFonts w:ascii="方正仿宋_GBK"/>
          <w:kern w:val="0"/>
          <w:szCs w:val="32"/>
          <w:u w:val="none"/>
        </w:rPr>
        <w:t>%，</w:t>
      </w:r>
      <w:r>
        <w:rPr>
          <w:rFonts w:hint="eastAsia" w:ascii="方正仿宋_GBK"/>
          <w:kern w:val="0"/>
          <w:szCs w:val="32"/>
          <w:u w:val="none"/>
        </w:rPr>
        <w:t>达1400</w:t>
      </w:r>
      <w:r>
        <w:rPr>
          <w:rFonts w:ascii="方正仿宋_GBK"/>
          <w:kern w:val="0"/>
          <w:szCs w:val="32"/>
          <w:u w:val="none"/>
        </w:rPr>
        <w:t>亿元。保险深度达到7%，保险密度达到8500元/人</w:t>
      </w:r>
      <w:r>
        <w:rPr>
          <w:rFonts w:hint="eastAsia" w:ascii="方正仿宋_GBK"/>
          <w:kern w:val="0"/>
          <w:szCs w:val="32"/>
          <w:u w:val="none"/>
        </w:rPr>
        <w:t>，力争保险资金运用达到2亿元</w:t>
      </w:r>
      <w:r>
        <w:rPr>
          <w:rFonts w:ascii="方正仿宋_GBK"/>
          <w:kern w:val="0"/>
          <w:szCs w:val="32"/>
          <w:u w:val="none"/>
        </w:rPr>
        <w:t>。</w:t>
      </w:r>
    </w:p>
    <w:p>
      <w:pPr>
        <w:widowControl w:val="0"/>
        <w:snapToGrid w:val="0"/>
        <w:spacing w:line="276" w:lineRule="auto"/>
        <w:ind w:firstLine="640" w:firstLineChars="200"/>
        <w:rPr>
          <w:rFonts w:ascii="方正仿宋_GBK"/>
          <w:kern w:val="0"/>
          <w:szCs w:val="32"/>
          <w:u w:val="none"/>
        </w:rPr>
      </w:pPr>
      <w:bookmarkStart w:id="54" w:name="_Toc434417539"/>
      <w:bookmarkEnd w:id="54"/>
      <w:r>
        <w:rPr>
          <w:rFonts w:ascii="方正仿宋_GBK"/>
          <w:kern w:val="0"/>
          <w:szCs w:val="32"/>
          <w:u w:val="none"/>
        </w:rPr>
        <w:t>——资本配置结构合理，实现一</w:t>
      </w:r>
      <w:r>
        <w:rPr>
          <w:rFonts w:hint="eastAsia" w:ascii="方正仿宋_GBK"/>
          <w:kern w:val="0"/>
          <w:szCs w:val="32"/>
          <w:u w:val="none"/>
        </w:rPr>
        <w:t>个“零突破”</w:t>
      </w:r>
      <w:r>
        <w:rPr>
          <w:rFonts w:ascii="方正仿宋_GBK"/>
          <w:kern w:val="0"/>
          <w:szCs w:val="32"/>
          <w:u w:val="none"/>
        </w:rPr>
        <w:t>。加快实现境内外上市公司</w:t>
      </w:r>
      <w:r>
        <w:rPr>
          <w:rFonts w:hint="eastAsia" w:ascii="方正仿宋_GBK"/>
          <w:kern w:val="0"/>
          <w:szCs w:val="32"/>
          <w:u w:val="none"/>
        </w:rPr>
        <w:t>数量“零突破”</w:t>
      </w:r>
      <w:r>
        <w:rPr>
          <w:rFonts w:ascii="方正仿宋_GBK"/>
          <w:kern w:val="0"/>
          <w:szCs w:val="32"/>
          <w:u w:val="none"/>
        </w:rPr>
        <w:t>。到2025年，全区新增境内外上市企业</w:t>
      </w:r>
      <w:r>
        <w:rPr>
          <w:rFonts w:hint="eastAsia" w:ascii="方正仿宋_GBK"/>
          <w:kern w:val="0"/>
          <w:szCs w:val="32"/>
          <w:u w:val="none"/>
        </w:rPr>
        <w:t>7</w:t>
      </w:r>
      <w:r>
        <w:rPr>
          <w:rFonts w:ascii="方正仿宋_GBK"/>
          <w:kern w:val="0"/>
          <w:szCs w:val="32"/>
          <w:u w:val="none"/>
        </w:rPr>
        <w:t>家以上，预期上市公司市值达到</w:t>
      </w:r>
      <w:r>
        <w:rPr>
          <w:rFonts w:hint="eastAsia" w:ascii="方正仿宋_GBK"/>
          <w:kern w:val="0"/>
          <w:szCs w:val="32"/>
          <w:u w:val="none"/>
        </w:rPr>
        <w:t>800</w:t>
      </w:r>
      <w:r>
        <w:rPr>
          <w:rFonts w:ascii="方正仿宋_GBK"/>
          <w:kern w:val="0"/>
          <w:szCs w:val="32"/>
          <w:u w:val="none"/>
        </w:rPr>
        <w:t>亿元以上，新增新三板挂牌企业</w:t>
      </w:r>
      <w:r>
        <w:rPr>
          <w:rFonts w:hint="eastAsia" w:ascii="方正仿宋_GBK"/>
          <w:kern w:val="0"/>
          <w:szCs w:val="32"/>
          <w:u w:val="none"/>
        </w:rPr>
        <w:t>30</w:t>
      </w:r>
      <w:r>
        <w:rPr>
          <w:rFonts w:ascii="方正仿宋_GBK"/>
          <w:kern w:val="0"/>
          <w:szCs w:val="32"/>
          <w:u w:val="none"/>
        </w:rPr>
        <w:t>家以上，资产证券化率达</w:t>
      </w:r>
      <w:r>
        <w:rPr>
          <w:rFonts w:hint="eastAsia" w:ascii="方正仿宋_GBK"/>
          <w:kern w:val="0"/>
          <w:szCs w:val="32"/>
          <w:u w:val="none"/>
        </w:rPr>
        <w:t>55</w:t>
      </w:r>
      <w:r>
        <w:rPr>
          <w:rFonts w:ascii="方正仿宋_GBK"/>
          <w:kern w:val="0"/>
          <w:szCs w:val="32"/>
          <w:u w:val="none"/>
        </w:rPr>
        <w:t>%，融资结构更加优化，金融资源配置更加高效。</w:t>
      </w:r>
    </w:p>
    <w:p>
      <w:pPr>
        <w:widowControl w:val="0"/>
        <w:snapToGrid w:val="0"/>
        <w:spacing w:line="276" w:lineRule="auto"/>
        <w:ind w:firstLine="640" w:firstLineChars="200"/>
        <w:rPr>
          <w:rFonts w:ascii="方正仿宋_GBK"/>
          <w:kern w:val="0"/>
          <w:szCs w:val="32"/>
          <w:u w:val="none"/>
        </w:rPr>
      </w:pPr>
      <w:r>
        <w:rPr>
          <w:rFonts w:ascii="方正仿宋_GBK"/>
          <w:kern w:val="0"/>
          <w:szCs w:val="32"/>
          <w:u w:val="none"/>
        </w:rPr>
        <w:t>——金融体系逐步完善，打造</w:t>
      </w:r>
      <w:r>
        <w:rPr>
          <w:rFonts w:hint="eastAsia" w:ascii="方正仿宋_GBK"/>
          <w:kern w:val="0"/>
          <w:szCs w:val="32"/>
          <w:u w:val="none"/>
        </w:rPr>
        <w:t>一</w:t>
      </w:r>
      <w:r>
        <w:rPr>
          <w:rFonts w:ascii="方正仿宋_GBK"/>
          <w:kern w:val="0"/>
          <w:szCs w:val="32"/>
          <w:u w:val="none"/>
        </w:rPr>
        <w:t>个</w:t>
      </w:r>
      <w:r>
        <w:rPr>
          <w:rFonts w:hint="eastAsia" w:ascii="方正仿宋_GBK"/>
          <w:kern w:val="0"/>
          <w:szCs w:val="32"/>
          <w:u w:val="none"/>
        </w:rPr>
        <w:t>“50</w:t>
      </w:r>
      <w:r>
        <w:rPr>
          <w:rFonts w:ascii="方正仿宋_GBK"/>
          <w:kern w:val="0"/>
          <w:szCs w:val="32"/>
          <w:u w:val="none"/>
        </w:rPr>
        <w:t>亿元</w:t>
      </w:r>
      <w:r>
        <w:rPr>
          <w:rFonts w:hint="eastAsia" w:ascii="方正仿宋_GBK"/>
          <w:kern w:val="0"/>
          <w:szCs w:val="32"/>
          <w:u w:val="none"/>
        </w:rPr>
        <w:t>”</w:t>
      </w:r>
      <w:r>
        <w:rPr>
          <w:rFonts w:ascii="方正仿宋_GBK"/>
          <w:kern w:val="0"/>
          <w:szCs w:val="32"/>
          <w:u w:val="none"/>
        </w:rPr>
        <w:t>。</w:t>
      </w:r>
      <w:bookmarkStart w:id="55" w:name="_Toc434417540"/>
      <w:r>
        <w:rPr>
          <w:rFonts w:ascii="方正仿宋_GBK"/>
          <w:kern w:val="0"/>
          <w:szCs w:val="32"/>
          <w:u w:val="none"/>
        </w:rPr>
        <w:t>银行</w:t>
      </w:r>
      <w:bookmarkEnd w:id="55"/>
      <w:r>
        <w:rPr>
          <w:rFonts w:ascii="方正仿宋_GBK"/>
          <w:kern w:val="0"/>
          <w:szCs w:val="32"/>
          <w:u w:val="none"/>
        </w:rPr>
        <w:t>、保险、证券等传统金融业态</w:t>
      </w:r>
      <w:r>
        <w:rPr>
          <w:rFonts w:hint="eastAsia" w:ascii="方正仿宋_GBK"/>
          <w:kern w:val="0"/>
          <w:szCs w:val="32"/>
          <w:u w:val="none"/>
        </w:rPr>
        <w:t>稳步发展</w:t>
      </w:r>
      <w:r>
        <w:rPr>
          <w:rFonts w:ascii="方正仿宋_GBK"/>
          <w:kern w:val="0"/>
          <w:szCs w:val="32"/>
          <w:u w:val="none"/>
        </w:rPr>
        <w:t>，加</w:t>
      </w:r>
      <w:r>
        <w:rPr>
          <w:rFonts w:hint="eastAsia" w:ascii="方正仿宋_GBK"/>
          <w:kern w:val="0"/>
          <w:szCs w:val="32"/>
          <w:u w:val="none"/>
        </w:rPr>
        <w:t>大</w:t>
      </w:r>
      <w:r>
        <w:rPr>
          <w:rFonts w:ascii="方正仿宋_GBK"/>
          <w:kern w:val="0"/>
          <w:szCs w:val="32"/>
          <w:u w:val="none"/>
        </w:rPr>
        <w:t>股权投资、租赁、基金、信托、消费金融、财务公司、资产管理、金融科技、结算支付、直销银行等新型金融机构</w:t>
      </w:r>
      <w:r>
        <w:rPr>
          <w:rFonts w:hint="eastAsia" w:ascii="方正仿宋_GBK"/>
          <w:kern w:val="0"/>
          <w:szCs w:val="32"/>
          <w:u w:val="none"/>
        </w:rPr>
        <w:t>的培育、引进力度</w:t>
      </w:r>
      <w:r>
        <w:rPr>
          <w:rFonts w:ascii="方正仿宋_GBK"/>
          <w:kern w:val="0"/>
          <w:szCs w:val="32"/>
          <w:u w:val="none"/>
        </w:rPr>
        <w:t>。到2025年</w:t>
      </w:r>
      <w:r>
        <w:rPr>
          <w:rFonts w:hint="eastAsia" w:ascii="方正仿宋_GBK"/>
          <w:kern w:val="0"/>
          <w:szCs w:val="32"/>
          <w:u w:val="none"/>
        </w:rPr>
        <w:t>末</w:t>
      </w:r>
      <w:r>
        <w:rPr>
          <w:rFonts w:ascii="方正仿宋_GBK"/>
          <w:kern w:val="0"/>
          <w:szCs w:val="32"/>
          <w:u w:val="none"/>
        </w:rPr>
        <w:t>，</w:t>
      </w:r>
      <w:r>
        <w:rPr>
          <w:rFonts w:hint="eastAsia" w:ascii="方正仿宋_GBK"/>
          <w:kern w:val="0"/>
          <w:szCs w:val="32"/>
          <w:u w:val="none"/>
        </w:rPr>
        <w:t>新增各类金融机构25家，其中银行</w:t>
      </w:r>
      <w:r>
        <w:rPr>
          <w:rFonts w:ascii="方正仿宋_GBK"/>
          <w:kern w:val="0"/>
          <w:szCs w:val="32"/>
          <w:u w:val="none"/>
        </w:rPr>
        <w:t>金融机构</w:t>
      </w:r>
      <w:r>
        <w:rPr>
          <w:rFonts w:hint="eastAsia" w:ascii="方正仿宋_GBK"/>
          <w:kern w:val="0"/>
          <w:szCs w:val="32"/>
          <w:u w:val="none"/>
        </w:rPr>
        <w:t>5</w:t>
      </w:r>
      <w:r>
        <w:rPr>
          <w:rFonts w:ascii="方正仿宋_GBK"/>
          <w:kern w:val="0"/>
          <w:szCs w:val="32"/>
          <w:u w:val="none"/>
        </w:rPr>
        <w:t>家</w:t>
      </w:r>
      <w:r>
        <w:rPr>
          <w:rFonts w:hint="eastAsia" w:ascii="方正仿宋_GBK"/>
          <w:kern w:val="0"/>
          <w:szCs w:val="32"/>
          <w:u w:val="none"/>
        </w:rPr>
        <w:t>，</w:t>
      </w:r>
      <w:r>
        <w:rPr>
          <w:rFonts w:ascii="方正仿宋_GBK"/>
          <w:kern w:val="0"/>
          <w:szCs w:val="32"/>
          <w:u w:val="none"/>
        </w:rPr>
        <w:t>全区各类金融机构数量达</w:t>
      </w:r>
      <w:r>
        <w:rPr>
          <w:rFonts w:hint="eastAsia" w:ascii="方正仿宋_GBK"/>
          <w:kern w:val="0"/>
          <w:szCs w:val="32"/>
          <w:u w:val="none"/>
        </w:rPr>
        <w:t>100</w:t>
      </w:r>
      <w:r>
        <w:rPr>
          <w:rFonts w:ascii="方正仿宋_GBK"/>
          <w:kern w:val="0"/>
          <w:szCs w:val="32"/>
          <w:u w:val="none"/>
        </w:rPr>
        <w:t>家</w:t>
      </w:r>
      <w:r>
        <w:rPr>
          <w:rFonts w:hint="eastAsia" w:ascii="方正仿宋_GBK"/>
          <w:kern w:val="0"/>
          <w:szCs w:val="32"/>
          <w:u w:val="none"/>
        </w:rPr>
        <w:t>，</w:t>
      </w:r>
      <w:r>
        <w:rPr>
          <w:rFonts w:ascii="方正仿宋_GBK"/>
          <w:kern w:val="0"/>
          <w:szCs w:val="32"/>
          <w:u w:val="none"/>
        </w:rPr>
        <w:t>基金规模达</w:t>
      </w:r>
      <w:r>
        <w:rPr>
          <w:rFonts w:hint="eastAsia" w:ascii="方正仿宋_GBK"/>
          <w:kern w:val="0"/>
          <w:szCs w:val="32"/>
          <w:u w:val="none"/>
        </w:rPr>
        <w:t>50</w:t>
      </w:r>
      <w:r>
        <w:rPr>
          <w:rFonts w:ascii="方正仿宋_GBK"/>
          <w:kern w:val="0"/>
          <w:szCs w:val="32"/>
          <w:u w:val="none"/>
        </w:rPr>
        <w:t>亿元，机构类型更加丰富，金融市场更具活力。</w:t>
      </w:r>
    </w:p>
    <w:p>
      <w:pPr>
        <w:widowControl w:val="0"/>
        <w:snapToGrid w:val="0"/>
        <w:spacing w:line="276" w:lineRule="auto"/>
        <w:ind w:firstLine="640" w:firstLineChars="200"/>
        <w:rPr>
          <w:rFonts w:ascii="方正仿宋_GBK"/>
          <w:kern w:val="0"/>
          <w:szCs w:val="32"/>
          <w:u w:val="none"/>
        </w:rPr>
      </w:pPr>
      <w:r>
        <w:rPr>
          <w:rFonts w:ascii="方正仿宋_GBK"/>
          <w:kern w:val="0"/>
          <w:szCs w:val="32"/>
          <w:u w:val="none"/>
        </w:rPr>
        <w:t>——金融生态环境优化，保持三</w:t>
      </w:r>
      <w:r>
        <w:rPr>
          <w:rFonts w:hint="eastAsia" w:ascii="方正仿宋_GBK"/>
          <w:kern w:val="0"/>
          <w:szCs w:val="32"/>
          <w:u w:val="none"/>
        </w:rPr>
        <w:t>个“不低于”</w:t>
      </w:r>
      <w:r>
        <w:rPr>
          <w:rFonts w:ascii="方正仿宋_GBK"/>
          <w:kern w:val="0"/>
          <w:szCs w:val="32"/>
          <w:u w:val="none"/>
        </w:rPr>
        <w:t>。</w:t>
      </w:r>
      <w:r>
        <w:rPr>
          <w:rFonts w:hint="eastAsia" w:ascii="方正仿宋_GBK"/>
          <w:kern w:val="0"/>
          <w:szCs w:val="32"/>
          <w:u w:val="none"/>
        </w:rPr>
        <w:t>“十四五”期间，全区绿色信贷年均增速不低于各项贷款平均</w:t>
      </w:r>
      <w:r>
        <w:rPr>
          <w:rFonts w:ascii="方正仿宋_GBK"/>
          <w:kern w:val="0"/>
          <w:szCs w:val="32"/>
          <w:u w:val="none"/>
        </w:rPr>
        <w:t>增速，绿色信贷占比不低于全市平均水平，小微企业贷款占比不低于全市平均水平；全区银行类金融机构和非银行类金融机构的不良资产率均低于全市平均水平。全区金融风险总体可控，金融市场稳定有序，金融生态环境持续向好。</w:t>
      </w:r>
    </w:p>
    <w:p>
      <w:pPr>
        <w:widowControl w:val="0"/>
        <w:snapToGrid w:val="0"/>
        <w:spacing w:line="276" w:lineRule="auto"/>
        <w:ind w:firstLine="640"/>
        <w:rPr>
          <w:rFonts w:ascii="方正黑体_GBK" w:hAnsi="Calibri" w:eastAsia="方正黑体_GBK" w:cs="宋体"/>
          <w:kern w:val="0"/>
          <w:szCs w:val="32"/>
        </w:rPr>
      </w:pPr>
      <w:bookmarkStart w:id="56" w:name="_Toc21965"/>
      <w:bookmarkEnd w:id="56"/>
      <w:r>
        <w:rPr>
          <w:rFonts w:hint="eastAsia" w:ascii="方正黑体_GBK" w:hAnsi="Calibri" w:eastAsia="方正黑体_GBK" w:cs="宋体"/>
          <w:kern w:val="0"/>
          <w:szCs w:val="32"/>
        </w:rPr>
        <w:t>二、阶段目标</w:t>
      </w:r>
    </w:p>
    <w:p>
      <w:pPr>
        <w:widowControl w:val="0"/>
        <w:snapToGrid w:val="0"/>
        <w:spacing w:line="276" w:lineRule="auto"/>
        <w:ind w:firstLine="640" w:firstLineChars="200"/>
        <w:rPr>
          <w:rFonts w:hint="eastAsia" w:ascii="方正仿宋_GBK" w:hAnsi="Calibri" w:cs="宋体"/>
          <w:kern w:val="0"/>
          <w:szCs w:val="32"/>
          <w:u w:val="none"/>
        </w:rPr>
      </w:pPr>
      <w:r>
        <w:rPr>
          <w:rFonts w:hint="eastAsia" w:ascii="方正仿宋_GBK" w:hAnsi="Calibri" w:cs="宋体"/>
          <w:kern w:val="0"/>
          <w:szCs w:val="32"/>
        </w:rPr>
        <w:t>——规划前期（2021-2023年）：夯实基础与提升能级的推进阶段。牢牢把握金融工作“四项重要原则”和“三大任务”，</w:t>
      </w:r>
      <w:r>
        <w:rPr>
          <w:rFonts w:hint="eastAsia" w:ascii="方正仿宋_GBK" w:hAnsi="Calibri" w:cs="宋体"/>
          <w:kern w:val="0"/>
          <w:szCs w:val="32"/>
          <w:u w:val="none"/>
        </w:rPr>
        <w:t>坚持市场化发展，紧紧围绕“枢纽+中心”的发展定位，建设金融开放高地，以健全“三大金融体系”为总揽深化金融改革，以打造“两大先行试点”为抓手助推服务实体经济，逐步实现金融业态、功能与服务同步集聚、能级提升，初步实现产业与金融融合发展，基本形成科技赋能金融、金融支持科技的良性互动格局。到2023年末，金融业增加值占地区GDP比重基本达到5%，存贷款余额接近毗邻先进区县水平，设立国家高新区科技支行1家，新增境内外交易所上市企业5家，金融业发展基础逐步夯实。</w:t>
      </w:r>
    </w:p>
    <w:p>
      <w:pPr>
        <w:widowControl w:val="0"/>
        <w:snapToGrid w:val="0"/>
        <w:spacing w:line="276" w:lineRule="auto"/>
        <w:ind w:firstLine="640" w:firstLineChars="200"/>
        <w:rPr>
          <w:rFonts w:ascii="方正仿宋_GBK" w:hAnsi="Calibri" w:cs="宋体"/>
          <w:kern w:val="0"/>
          <w:szCs w:val="32"/>
          <w:u w:val="none"/>
        </w:rPr>
      </w:pPr>
      <w:r>
        <w:rPr>
          <w:rFonts w:hint="eastAsia" w:ascii="方正仿宋_GBK" w:hAnsi="Calibri" w:cs="宋体"/>
          <w:kern w:val="0"/>
          <w:szCs w:val="32"/>
          <w:u w:val="none"/>
        </w:rPr>
        <w:t>——规划中期（2024-2025年）：扩大开放与创新示范的深化阶段。在金融业态、功能与服务三大体系持续完善，产业与金融、金融与科技的融合发展逐步走深走实的基础上，深化金融开放，逐步扩大对成渝地区双城经济圈的辐射影响力，同时加快推进供应链金融、绿色金融、文旅金融、普惠金融发展，形成创新示范。到2025年末，金融业增加值占地区GDP比重达到6%以上，全面实现规划目标，金融业增加值、新增社会融资规模、存贷款余额、上市企业规模、金融创新与安全等各项指标领先周边区县，基本建设成为成渝地区双城经济圈区域性金融枢纽和重庆主城都市区现代化创新型金融中心。</w:t>
      </w:r>
    </w:p>
    <w:p>
      <w:pPr>
        <w:widowControl w:val="0"/>
        <w:snapToGrid w:val="0"/>
        <w:spacing w:line="276" w:lineRule="auto"/>
        <w:ind w:firstLine="640" w:firstLineChars="200"/>
        <w:rPr>
          <w:rFonts w:hint="eastAsia" w:ascii="方正仿宋_GBK" w:hAnsi="Calibri" w:cs="宋体"/>
          <w:kern w:val="0"/>
          <w:szCs w:val="32"/>
          <w:u w:val="none"/>
        </w:rPr>
      </w:pPr>
      <w:r>
        <w:rPr>
          <w:rFonts w:hint="eastAsia" w:ascii="方正仿宋_GBK" w:hAnsi="Calibri" w:cs="宋体"/>
          <w:kern w:val="0"/>
          <w:szCs w:val="32"/>
          <w:u w:val="none"/>
        </w:rPr>
        <w:t>——规划远期（2026-2035年）：要素集聚与辐射效应的强化阶段。金融机构、产品、服务、创新、开放、人才、生态等要素集聚和辐射能级进一步提升，区域性金融集聚与辐射效应显著增强，金融集聚功能与作用进一步凸显，永川金融的品牌影响力显著增强，形成良性的金融生态发展和人才汇聚格局。</w:t>
      </w:r>
    </w:p>
    <w:p>
      <w:pPr>
        <w:widowControl w:val="0"/>
        <w:snapToGrid w:val="0"/>
        <w:spacing w:line="276" w:lineRule="auto"/>
        <w:ind w:firstLine="640" w:firstLineChars="200"/>
        <w:rPr>
          <w:rFonts w:hint="eastAsia" w:ascii="方正仿宋_GBK" w:hAnsi="Calibri" w:cs="宋体"/>
          <w:kern w:val="0"/>
          <w:szCs w:val="32"/>
          <w:u w:val="none"/>
        </w:rPr>
      </w:pPr>
    </w:p>
    <w:tbl>
      <w:tblPr>
        <w:tblStyle w:val="7"/>
        <w:tblW w:w="8845" w:type="dxa"/>
        <w:jc w:val="center"/>
        <w:shd w:val="clear" w:color="auto" w:fill="auto"/>
        <w:tblLayout w:type="fixed"/>
        <w:tblCellMar>
          <w:top w:w="0" w:type="dxa"/>
          <w:left w:w="57" w:type="dxa"/>
          <w:bottom w:w="0" w:type="dxa"/>
          <w:right w:w="57" w:type="dxa"/>
        </w:tblCellMar>
      </w:tblPr>
      <w:tblGrid>
        <w:gridCol w:w="772"/>
        <w:gridCol w:w="3771"/>
        <w:gridCol w:w="1035"/>
        <w:gridCol w:w="1325"/>
        <w:gridCol w:w="1942"/>
      </w:tblGrid>
      <w:tr>
        <w:tblPrEx>
          <w:shd w:val="clear" w:color="auto" w:fill="auto"/>
          <w:tblCellMar>
            <w:top w:w="0" w:type="dxa"/>
            <w:left w:w="57" w:type="dxa"/>
            <w:bottom w:w="0" w:type="dxa"/>
            <w:right w:w="57" w:type="dxa"/>
          </w:tblCellMar>
        </w:tblPrEx>
        <w:trPr>
          <w:trHeight w:val="0" w:hRule="atLeast"/>
          <w:jc w:val="center"/>
        </w:trPr>
        <w:tc>
          <w:tcPr>
            <w:tcW w:w="88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黑体_GBK" w:hAnsi="Calibri" w:eastAsia="方正黑体_GBK" w:cs="宋体"/>
                <w:color w:val="000000" w:themeColor="text1"/>
                <w:kern w:val="0"/>
                <w:sz w:val="24"/>
                <w:szCs w:val="24"/>
                <w14:textFill>
                  <w14:solidFill>
                    <w14:schemeClr w14:val="tx1"/>
                  </w14:solidFill>
                </w14:textFill>
              </w:rPr>
            </w:pPr>
            <w:r>
              <w:rPr>
                <w:rFonts w:hint="eastAsia" w:ascii="方正黑体_GBK" w:hAnsi="Calibri" w:eastAsia="方正黑体_GBK" w:cs="宋体"/>
                <w:color w:val="000000" w:themeColor="text1"/>
                <w:kern w:val="0"/>
                <w:sz w:val="24"/>
                <w:szCs w:val="24"/>
                <w14:textFill>
                  <w14:solidFill>
                    <w14:schemeClr w14:val="tx1"/>
                  </w14:solidFill>
                </w14:textFill>
              </w:rPr>
              <w:t>专栏3：“十四五”永川区金融业发展主要指标</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黑体_GBK" w:hAnsi="Calibri" w:eastAsia="方正黑体_GBK" w:cs="宋体"/>
                <w:color w:val="000000" w:themeColor="text1"/>
                <w:kern w:val="0"/>
                <w:sz w:val="24"/>
                <w:szCs w:val="24"/>
                <w14:textFill>
                  <w14:solidFill>
                    <w14:schemeClr w14:val="tx1"/>
                  </w14:solidFill>
                </w14:textFill>
              </w:rPr>
            </w:pPr>
            <w:r>
              <w:rPr>
                <w:rFonts w:hint="eastAsia" w:ascii="方正黑体_GBK" w:hAnsi="Calibri" w:eastAsia="方正黑体_GBK" w:cs="宋体"/>
                <w:color w:val="000000" w:themeColor="text1"/>
                <w:kern w:val="0"/>
                <w:sz w:val="24"/>
                <w:szCs w:val="24"/>
                <w14:textFill>
                  <w14:solidFill>
                    <w14:schemeClr w14:val="tx1"/>
                  </w14:solidFill>
                </w14:textFill>
              </w:rPr>
              <w:t>序号</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黑体_GBK" w:hAnsi="Calibri" w:eastAsia="方正黑体_GBK" w:cs="宋体"/>
                <w:color w:val="000000" w:themeColor="text1"/>
                <w:kern w:val="0"/>
                <w:sz w:val="24"/>
                <w:szCs w:val="24"/>
                <w14:textFill>
                  <w14:solidFill>
                    <w14:schemeClr w14:val="tx1"/>
                  </w14:solidFill>
                </w14:textFill>
              </w:rPr>
            </w:pPr>
            <w:r>
              <w:rPr>
                <w:rFonts w:hint="eastAsia" w:ascii="方正黑体_GBK" w:hAnsi="Calibri" w:eastAsia="方正黑体_GBK" w:cs="宋体"/>
                <w:color w:val="000000" w:themeColor="text1"/>
                <w:kern w:val="0"/>
                <w:sz w:val="24"/>
                <w:szCs w:val="24"/>
                <w14:textFill>
                  <w14:solidFill>
                    <w14:schemeClr w14:val="tx1"/>
                  </w14:solidFill>
                </w14:textFill>
              </w:rPr>
              <w:t>主要指标名称</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黑体_GBK" w:hAnsi="Calibri" w:eastAsia="方正黑体_GBK" w:cs="宋体"/>
                <w:color w:val="000000" w:themeColor="text1"/>
                <w:kern w:val="0"/>
                <w:sz w:val="24"/>
                <w:szCs w:val="24"/>
                <w14:textFill>
                  <w14:solidFill>
                    <w14:schemeClr w14:val="tx1"/>
                  </w14:solidFill>
                </w14:textFill>
              </w:rPr>
            </w:pPr>
            <w:r>
              <w:rPr>
                <w:rFonts w:hint="eastAsia" w:ascii="方正黑体_GBK" w:hAnsi="Calibri" w:eastAsia="方正黑体_GBK" w:cs="宋体"/>
                <w:color w:val="000000" w:themeColor="text1"/>
                <w:kern w:val="0"/>
                <w:sz w:val="24"/>
                <w:szCs w:val="24"/>
                <w14:textFill>
                  <w14:solidFill>
                    <w14:schemeClr w14:val="tx1"/>
                  </w14:solidFill>
                </w14:textFill>
              </w:rPr>
              <w:t>指标</w:t>
            </w:r>
          </w:p>
          <w:p>
            <w:pPr>
              <w:widowControl w:val="0"/>
              <w:snapToGrid w:val="0"/>
              <w:spacing w:line="240" w:lineRule="auto"/>
              <w:jc w:val="center"/>
              <w:rPr>
                <w:rFonts w:ascii="方正黑体_GBK" w:hAnsi="Calibri" w:eastAsia="方正黑体_GBK" w:cs="宋体"/>
                <w:color w:val="000000" w:themeColor="text1"/>
                <w:kern w:val="0"/>
                <w:sz w:val="24"/>
                <w:szCs w:val="24"/>
                <w14:textFill>
                  <w14:solidFill>
                    <w14:schemeClr w14:val="tx1"/>
                  </w14:solidFill>
                </w14:textFill>
              </w:rPr>
            </w:pPr>
            <w:r>
              <w:rPr>
                <w:rFonts w:hint="eastAsia" w:ascii="方正黑体_GBK" w:hAnsi="Calibri" w:eastAsia="方正黑体_GBK" w:cs="宋体"/>
                <w:color w:val="000000" w:themeColor="text1"/>
                <w:kern w:val="0"/>
                <w:sz w:val="24"/>
                <w:szCs w:val="24"/>
                <w14:textFill>
                  <w14:solidFill>
                    <w14:schemeClr w14:val="tx1"/>
                  </w14:solidFill>
                </w14:textFill>
              </w:rPr>
              <w:t>属性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黑体_GBK" w:hAnsi="Calibri" w:eastAsia="方正黑体_GBK" w:cs="宋体"/>
                <w:color w:val="000000" w:themeColor="text1"/>
                <w:kern w:val="0"/>
                <w:sz w:val="24"/>
                <w:szCs w:val="24"/>
                <w14:textFill>
                  <w14:solidFill>
                    <w14:schemeClr w14:val="tx1"/>
                  </w14:solidFill>
                </w14:textFill>
              </w:rPr>
            </w:pPr>
            <w:r>
              <w:rPr>
                <w:rFonts w:hint="eastAsia" w:ascii="方正黑体_GBK" w:hAnsi="Calibri" w:eastAsia="方正黑体_GBK" w:cs="宋体"/>
                <w:color w:val="000000" w:themeColor="text1"/>
                <w:kern w:val="0"/>
                <w:sz w:val="24"/>
                <w:szCs w:val="24"/>
                <w14:textFill>
                  <w14:solidFill>
                    <w14:schemeClr w14:val="tx1"/>
                  </w14:solidFill>
                </w14:textFill>
              </w:rPr>
              <w:t>2020年</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黑体_GBK" w:hAnsi="Calibri" w:eastAsia="方正黑体_GBK" w:cs="宋体"/>
                <w:color w:val="000000" w:themeColor="text1"/>
                <w:kern w:val="0"/>
                <w:sz w:val="24"/>
                <w:szCs w:val="24"/>
                <w14:textFill>
                  <w14:solidFill>
                    <w14:schemeClr w14:val="tx1"/>
                  </w14:solidFill>
                </w14:textFill>
              </w:rPr>
            </w:pPr>
            <w:r>
              <w:rPr>
                <w:rFonts w:hint="eastAsia" w:ascii="方正黑体_GBK" w:hAnsi="Calibri" w:eastAsia="方正黑体_GBK" w:cs="宋体"/>
                <w:color w:val="000000" w:themeColor="text1"/>
                <w:kern w:val="0"/>
                <w:sz w:val="24"/>
                <w:szCs w:val="24"/>
                <w14:textFill>
                  <w14:solidFill>
                    <w14:schemeClr w14:val="tx1"/>
                  </w14:solidFill>
                </w14:textFill>
              </w:rPr>
              <w:t>2025年</w:t>
            </w:r>
          </w:p>
          <w:p>
            <w:pPr>
              <w:widowControl w:val="0"/>
              <w:snapToGrid w:val="0"/>
              <w:spacing w:line="240" w:lineRule="auto"/>
              <w:jc w:val="center"/>
              <w:rPr>
                <w:rFonts w:ascii="方正黑体_GBK" w:hAnsi="Calibri" w:eastAsia="方正黑体_GBK" w:cs="宋体"/>
                <w:color w:val="000000" w:themeColor="text1"/>
                <w:kern w:val="0"/>
                <w:sz w:val="24"/>
                <w:szCs w:val="24"/>
                <w14:textFill>
                  <w14:solidFill>
                    <w14:schemeClr w14:val="tx1"/>
                  </w14:solidFill>
                </w14:textFill>
              </w:rPr>
            </w:pPr>
            <w:r>
              <w:rPr>
                <w:rFonts w:hint="eastAsia" w:ascii="方正黑体_GBK" w:hAnsi="Calibri" w:eastAsia="方正黑体_GBK" w:cs="宋体"/>
                <w:color w:val="000000" w:themeColor="text1"/>
                <w:kern w:val="0"/>
                <w:sz w:val="24"/>
                <w:szCs w:val="24"/>
                <w14:textFill>
                  <w14:solidFill>
                    <w14:schemeClr w14:val="tx1"/>
                  </w14:solidFill>
                </w14:textFill>
              </w:rPr>
              <w:t>预期目标</w:t>
            </w:r>
          </w:p>
        </w:tc>
      </w:tr>
      <w:tr>
        <w:tblPrEx>
          <w:tblCellMar>
            <w:top w:w="0" w:type="dxa"/>
            <w:left w:w="57" w:type="dxa"/>
            <w:bottom w:w="0" w:type="dxa"/>
            <w:right w:w="57" w:type="dxa"/>
          </w:tblCellMar>
        </w:tblPrEx>
        <w:trPr>
          <w:trHeight w:val="0" w:hRule="atLeast"/>
          <w:jc w:val="center"/>
        </w:trPr>
        <w:tc>
          <w:tcPr>
            <w:tcW w:w="88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楷体_GBK" w:hAnsi="Calibri" w:eastAsia="方正楷体_GBK" w:cs="宋体"/>
                <w:b/>
                <w:bCs/>
                <w:color w:val="000000" w:themeColor="text1"/>
                <w:kern w:val="0"/>
                <w:sz w:val="24"/>
                <w:szCs w:val="24"/>
                <w14:textFill>
                  <w14:solidFill>
                    <w14:schemeClr w14:val="tx1"/>
                  </w14:solidFill>
                </w14:textFill>
              </w:rPr>
            </w:pPr>
            <w:r>
              <w:rPr>
                <w:rFonts w:hint="eastAsia" w:ascii="方正楷体_GBK" w:hAnsi="Calibri" w:eastAsia="方正楷体_GBK" w:cs="宋体"/>
                <w:b/>
                <w:bCs/>
                <w:color w:val="000000" w:themeColor="text1"/>
                <w:kern w:val="0"/>
                <w:sz w:val="24"/>
                <w:szCs w:val="24"/>
                <w14:textFill>
                  <w14:solidFill>
                    <w14:schemeClr w14:val="tx1"/>
                  </w14:solidFill>
                </w14:textFill>
              </w:rPr>
              <w:t>一、总体规模</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1</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left"/>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金融业增加值（亿元）</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34.76</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u w:val="single"/>
                <w14:textFill>
                  <w14:solidFill>
                    <w14:schemeClr w14:val="tx1"/>
                  </w14:solidFill>
                </w14:textFill>
              </w:rPr>
            </w:pPr>
            <w:r>
              <w:rPr>
                <w:rFonts w:hint="eastAsia" w:ascii="方正仿宋_GBK"/>
                <w:color w:val="000000" w:themeColor="text1"/>
                <w:kern w:val="0"/>
                <w:sz w:val="24"/>
                <w:szCs w:val="24"/>
                <w:u w:val="single"/>
                <w14:textFill>
                  <w14:solidFill>
                    <w14:schemeClr w14:val="tx1"/>
                  </w14:solidFill>
                </w14:textFill>
              </w:rPr>
              <w:t>90</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2</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left"/>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金融业增加值占GDP比重（%）</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3.5</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u w:val="single"/>
                <w14:textFill>
                  <w14:solidFill>
                    <w14:schemeClr w14:val="tx1"/>
                  </w14:solidFill>
                </w14:textFill>
              </w:rPr>
            </w:pPr>
            <w:r>
              <w:rPr>
                <w:rFonts w:hint="eastAsia" w:ascii="方正仿宋_GBK"/>
                <w:color w:val="000000" w:themeColor="text1"/>
                <w:kern w:val="0"/>
                <w:sz w:val="24"/>
                <w:szCs w:val="24"/>
                <w:u w:val="single"/>
                <w14:textFill>
                  <w14:solidFill>
                    <w14:schemeClr w14:val="tx1"/>
                  </w14:solidFill>
                </w14:textFill>
              </w:rPr>
              <w:t>6</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3</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left"/>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新增社会融资规模（亿元）</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500</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4</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left"/>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新增社会融资规模与GDP之比（%）</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u w:val="single"/>
                <w14:textFill>
                  <w14:solidFill>
                    <w14:schemeClr w14:val="tx1"/>
                  </w14:solidFill>
                </w14:textFill>
              </w:rPr>
            </w:pPr>
            <w:r>
              <w:rPr>
                <w:rFonts w:hint="eastAsia" w:ascii="方正仿宋_GBK"/>
                <w:color w:val="000000" w:themeColor="text1"/>
                <w:kern w:val="0"/>
                <w:sz w:val="24"/>
                <w:szCs w:val="24"/>
                <w:u w:val="single"/>
                <w14:textFill>
                  <w14:solidFill>
                    <w14:schemeClr w14:val="tx1"/>
                  </w14:solidFill>
                </w14:textFill>
              </w:rPr>
              <w:t>35</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5</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left"/>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金融机构数量（家）</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75</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u w:val="single"/>
                <w14:textFill>
                  <w14:solidFill>
                    <w14:schemeClr w14:val="tx1"/>
                  </w14:solidFill>
                </w14:textFill>
              </w:rPr>
              <w:t>100</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6</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left"/>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银行业金融机构存款余额</w:t>
            </w:r>
          </w:p>
          <w:p>
            <w:pPr>
              <w:widowControl w:val="0"/>
              <w:snapToGrid w:val="0"/>
              <w:spacing w:line="240" w:lineRule="auto"/>
              <w:jc w:val="left"/>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（亿元）</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795.94</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u w:val="single"/>
                <w14:textFill>
                  <w14:solidFill>
                    <w14:schemeClr w14:val="tx1"/>
                  </w14:solidFill>
                </w14:textFill>
              </w:rPr>
              <w:t>1600</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7</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left"/>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银行业金融机构贷款余额</w:t>
            </w:r>
          </w:p>
          <w:p>
            <w:pPr>
              <w:widowControl w:val="0"/>
              <w:snapToGrid w:val="0"/>
              <w:spacing w:line="240" w:lineRule="auto"/>
              <w:jc w:val="left"/>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（亿元）</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718.5</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hint="eastAsia" w:ascii="方正仿宋_GBK"/>
                <w:color w:val="000000" w:themeColor="text1"/>
                <w:kern w:val="0"/>
                <w:sz w:val="24"/>
                <w:szCs w:val="24"/>
                <w:u w:val="single"/>
                <w14:textFill>
                  <w14:solidFill>
                    <w14:schemeClr w14:val="tx1"/>
                  </w14:solidFill>
                </w14:textFill>
              </w:rPr>
            </w:pPr>
            <w:r>
              <w:rPr>
                <w:rFonts w:hint="eastAsia" w:ascii="方正仿宋_GBK"/>
                <w:color w:val="000000" w:themeColor="text1"/>
                <w:kern w:val="0"/>
                <w:sz w:val="24"/>
                <w:szCs w:val="24"/>
                <w:u w:val="single"/>
                <w14:textFill>
                  <w14:solidFill>
                    <w14:schemeClr w14:val="tx1"/>
                  </w14:solidFill>
                </w14:textFill>
              </w:rPr>
              <w:t>1400</w:t>
            </w:r>
          </w:p>
        </w:tc>
      </w:tr>
      <w:tr>
        <w:tblPrEx>
          <w:tblCellMar>
            <w:top w:w="0" w:type="dxa"/>
            <w:left w:w="57" w:type="dxa"/>
            <w:bottom w:w="0" w:type="dxa"/>
            <w:right w:w="57" w:type="dxa"/>
          </w:tblCellMar>
        </w:tblPrEx>
        <w:trPr>
          <w:trHeight w:val="0" w:hRule="atLeast"/>
          <w:jc w:val="center"/>
        </w:trPr>
        <w:tc>
          <w:tcPr>
            <w:tcW w:w="88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eastAsia="宋体"/>
                <w:color w:val="000000" w:themeColor="text1"/>
                <w:kern w:val="0"/>
                <w:sz w:val="24"/>
                <w:szCs w:val="24"/>
                <w14:textFill>
                  <w14:solidFill>
                    <w14:schemeClr w14:val="tx1"/>
                  </w14:solidFill>
                </w14:textFill>
              </w:rPr>
            </w:pPr>
            <w:r>
              <w:rPr>
                <w:rFonts w:hint="eastAsia" w:ascii="方正楷体_GBK" w:hAnsi="Calibri" w:eastAsia="方正楷体_GBK" w:cs="宋体"/>
                <w:b/>
                <w:bCs/>
                <w:color w:val="000000" w:themeColor="text1"/>
                <w:kern w:val="0"/>
                <w:sz w:val="24"/>
                <w:szCs w:val="24"/>
                <w14:textFill>
                  <w14:solidFill>
                    <w14:schemeClr w14:val="tx1"/>
                  </w14:solidFill>
                </w14:textFill>
              </w:rPr>
              <w:t>二、服务实体</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8</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民营企业贷款余额（亿元）</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95.24</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280</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9</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民营企业贷款余额占比（%）</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13.26</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20</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10</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小微企业贷款余额（亿元）</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121.84</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280</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11</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小微企业贷款余额占比（%）</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17</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20</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1</w:t>
            </w:r>
            <w:r>
              <w:rPr>
                <w:rFonts w:hint="eastAsia" w:ascii="方正仿宋_GBK"/>
                <w:color w:val="000000" w:themeColor="text1"/>
                <w:kern w:val="0"/>
                <w:sz w:val="24"/>
                <w:szCs w:val="24"/>
                <w14:textFill>
                  <w14:solidFill>
                    <w14:schemeClr w14:val="tx1"/>
                  </w14:solidFill>
                </w14:textFill>
              </w:rPr>
              <w:t>2</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知识价值信用贷款授信额度</w:t>
            </w:r>
          </w:p>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（亿元）</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【21】</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【100】</w:t>
            </w:r>
          </w:p>
        </w:tc>
      </w:tr>
      <w:tr>
        <w:tblPrEx>
          <w:tblCellMar>
            <w:top w:w="0" w:type="dxa"/>
            <w:left w:w="57" w:type="dxa"/>
            <w:bottom w:w="0" w:type="dxa"/>
            <w:right w:w="57" w:type="dxa"/>
          </w:tblCellMar>
        </w:tblPrEx>
        <w:trPr>
          <w:trHeight w:val="0" w:hRule="atLeast"/>
          <w:jc w:val="center"/>
        </w:trPr>
        <w:tc>
          <w:tcPr>
            <w:tcW w:w="88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eastAsia="宋体"/>
                <w:color w:val="000000" w:themeColor="text1"/>
                <w:kern w:val="0"/>
                <w:sz w:val="24"/>
                <w:szCs w:val="24"/>
                <w14:textFill>
                  <w14:solidFill>
                    <w14:schemeClr w14:val="tx1"/>
                  </w14:solidFill>
                </w14:textFill>
              </w:rPr>
            </w:pPr>
            <w:r>
              <w:rPr>
                <w:rFonts w:hint="eastAsia" w:ascii="方正楷体_GBK" w:hAnsi="Calibri" w:eastAsia="方正楷体_GBK" w:cs="宋体"/>
                <w:b/>
                <w:bCs/>
                <w:color w:val="000000" w:themeColor="text1"/>
                <w:kern w:val="0"/>
                <w:sz w:val="24"/>
                <w:szCs w:val="24"/>
                <w14:textFill>
                  <w14:solidFill>
                    <w14:schemeClr w14:val="tx1"/>
                  </w14:solidFill>
                </w14:textFill>
              </w:rPr>
              <w:t>三、资本市场</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13</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境内外交易所上市企业数量（家）</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0</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u w:val="single"/>
                <w14:textFill>
                  <w14:solidFill>
                    <w14:schemeClr w14:val="tx1"/>
                  </w14:solidFill>
                </w14:textFill>
              </w:rPr>
              <w:t>【</w:t>
            </w:r>
            <w:r>
              <w:rPr>
                <w:rFonts w:hint="eastAsia" w:ascii="方正仿宋_GBK"/>
                <w:color w:val="000000" w:themeColor="text1"/>
                <w:kern w:val="0"/>
                <w:sz w:val="24"/>
                <w:szCs w:val="24"/>
                <w:u w:val="single"/>
                <w14:textFill>
                  <w14:solidFill>
                    <w14:schemeClr w14:val="tx1"/>
                  </w14:solidFill>
                </w14:textFill>
              </w:rPr>
              <w:t>7</w:t>
            </w:r>
            <w:r>
              <w:rPr>
                <w:rFonts w:ascii="方正仿宋_GBK"/>
                <w:color w:val="000000" w:themeColor="text1"/>
                <w:kern w:val="0"/>
                <w:sz w:val="24"/>
                <w:szCs w:val="24"/>
                <w:u w:val="single"/>
                <w14:textFill>
                  <w14:solidFill>
                    <w14:schemeClr w14:val="tx1"/>
                  </w14:solidFill>
                </w14:textFill>
              </w:rPr>
              <w:t>】</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1</w:t>
            </w:r>
            <w:r>
              <w:rPr>
                <w:rFonts w:hint="eastAsia" w:ascii="方正仿宋_GBK"/>
                <w:color w:val="000000" w:themeColor="text1"/>
                <w:kern w:val="0"/>
                <w:sz w:val="24"/>
                <w:szCs w:val="24"/>
                <w14:textFill>
                  <w14:solidFill>
                    <w14:schemeClr w14:val="tx1"/>
                  </w14:solidFill>
                </w14:textFill>
              </w:rPr>
              <w:t>4</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境内外交易所上市企业市值规模（亿元）</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0</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u w:val="single"/>
                <w14:textFill>
                  <w14:solidFill>
                    <w14:schemeClr w14:val="tx1"/>
                  </w14:solidFill>
                </w14:textFill>
              </w:rPr>
            </w:pPr>
            <w:r>
              <w:rPr>
                <w:rFonts w:hint="eastAsia" w:ascii="方正仿宋_GBK"/>
                <w:color w:val="000000" w:themeColor="text1"/>
                <w:kern w:val="0"/>
                <w:sz w:val="24"/>
                <w:szCs w:val="24"/>
                <w:u w:val="single"/>
                <w14:textFill>
                  <w14:solidFill>
                    <w14:schemeClr w14:val="tx1"/>
                  </w14:solidFill>
                </w14:textFill>
              </w:rPr>
              <w:t>800</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15</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新增基金公司（家）</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u w:val="single"/>
                <w14:textFill>
                  <w14:solidFill>
                    <w14:schemeClr w14:val="tx1"/>
                  </w14:solidFill>
                </w14:textFill>
              </w:rPr>
            </w:pPr>
            <w:r>
              <w:rPr>
                <w:rFonts w:ascii="方正仿宋_GBK"/>
                <w:color w:val="000000" w:themeColor="text1"/>
                <w:kern w:val="0"/>
                <w:sz w:val="24"/>
                <w:szCs w:val="24"/>
                <w:u w:val="single"/>
                <w14:textFill>
                  <w14:solidFill>
                    <w14:schemeClr w14:val="tx1"/>
                  </w14:solidFill>
                </w14:textFill>
              </w:rPr>
              <w:t>【</w:t>
            </w:r>
            <w:r>
              <w:rPr>
                <w:rFonts w:hint="eastAsia" w:ascii="方正仿宋_GBK"/>
                <w:color w:val="000000" w:themeColor="text1"/>
                <w:kern w:val="0"/>
                <w:sz w:val="24"/>
                <w:szCs w:val="24"/>
                <w:u w:val="single"/>
                <w14:textFill>
                  <w14:solidFill>
                    <w14:schemeClr w14:val="tx1"/>
                  </w14:solidFill>
                </w14:textFill>
              </w:rPr>
              <w:t>10</w:t>
            </w:r>
            <w:r>
              <w:rPr>
                <w:rFonts w:ascii="方正仿宋_GBK"/>
                <w:color w:val="000000" w:themeColor="text1"/>
                <w:kern w:val="0"/>
                <w:sz w:val="24"/>
                <w:szCs w:val="24"/>
                <w:u w:val="single"/>
                <w14:textFill>
                  <w14:solidFill>
                    <w14:schemeClr w14:val="tx1"/>
                  </w14:solidFill>
                </w14:textFill>
              </w:rPr>
              <w:t>】</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1</w:t>
            </w:r>
            <w:r>
              <w:rPr>
                <w:rFonts w:hint="eastAsia" w:ascii="方正仿宋_GBK"/>
                <w:color w:val="000000" w:themeColor="text1"/>
                <w:kern w:val="0"/>
                <w:sz w:val="24"/>
                <w:szCs w:val="24"/>
                <w14:textFill>
                  <w14:solidFill>
                    <w14:schemeClr w14:val="tx1"/>
                  </w14:solidFill>
                </w14:textFill>
              </w:rPr>
              <w:t>6</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基金规模（亿元）</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0</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u w:val="single"/>
                <w14:textFill>
                  <w14:solidFill>
                    <w14:schemeClr w14:val="tx1"/>
                  </w14:solidFill>
                </w14:textFill>
              </w:rPr>
            </w:pPr>
            <w:r>
              <w:rPr>
                <w:rFonts w:hint="eastAsia" w:ascii="方正仿宋_GBK"/>
                <w:color w:val="000000" w:themeColor="text1"/>
                <w:kern w:val="0"/>
                <w:sz w:val="24"/>
                <w:szCs w:val="24"/>
                <w:u w:val="single"/>
                <w14:textFill>
                  <w14:solidFill>
                    <w14:schemeClr w14:val="tx1"/>
                  </w14:solidFill>
                </w14:textFill>
              </w:rPr>
              <w:t>50</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1</w:t>
            </w:r>
            <w:r>
              <w:rPr>
                <w:rFonts w:hint="eastAsia" w:ascii="方正仿宋_GBK"/>
                <w:color w:val="000000" w:themeColor="text1"/>
                <w:kern w:val="0"/>
                <w:sz w:val="24"/>
                <w:szCs w:val="24"/>
                <w14:textFill>
                  <w14:solidFill>
                    <w14:schemeClr w14:val="tx1"/>
                  </w14:solidFill>
                </w14:textFill>
              </w:rPr>
              <w:t>7</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资产证券化率（%）</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u w:val="single"/>
                <w14:textFill>
                  <w14:solidFill>
                    <w14:schemeClr w14:val="tx1"/>
                  </w14:solidFill>
                </w14:textFill>
              </w:rPr>
            </w:pPr>
            <w:r>
              <w:rPr>
                <w:rFonts w:hint="eastAsia" w:ascii="方正仿宋_GBK"/>
                <w:color w:val="000000" w:themeColor="text1"/>
                <w:kern w:val="0"/>
                <w:sz w:val="24"/>
                <w:szCs w:val="24"/>
                <w:u w:val="single"/>
                <w14:textFill>
                  <w14:solidFill>
                    <w14:schemeClr w14:val="tx1"/>
                  </w14:solidFill>
                </w14:textFill>
              </w:rPr>
              <w:t>55%</w:t>
            </w:r>
          </w:p>
        </w:tc>
      </w:tr>
      <w:tr>
        <w:tblPrEx>
          <w:tblCellMar>
            <w:top w:w="0" w:type="dxa"/>
            <w:left w:w="57" w:type="dxa"/>
            <w:bottom w:w="0" w:type="dxa"/>
            <w:right w:w="57" w:type="dxa"/>
          </w:tblCellMar>
        </w:tblPrEx>
        <w:trPr>
          <w:trHeight w:val="0" w:hRule="atLeast"/>
          <w:jc w:val="center"/>
        </w:trPr>
        <w:tc>
          <w:tcPr>
            <w:tcW w:w="88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eastAsia="宋体"/>
                <w:color w:val="000000" w:themeColor="text1"/>
                <w:kern w:val="0"/>
                <w:sz w:val="24"/>
                <w:szCs w:val="24"/>
                <w14:textFill>
                  <w14:solidFill>
                    <w14:schemeClr w14:val="tx1"/>
                  </w14:solidFill>
                </w14:textFill>
              </w:rPr>
            </w:pPr>
            <w:r>
              <w:rPr>
                <w:rFonts w:hint="eastAsia" w:ascii="方正楷体_GBK" w:hAnsi="Calibri" w:eastAsia="方正楷体_GBK" w:cs="宋体"/>
                <w:b/>
                <w:bCs/>
                <w:color w:val="000000" w:themeColor="text1"/>
                <w:kern w:val="0"/>
                <w:sz w:val="24"/>
                <w:szCs w:val="24"/>
                <w14:textFill>
                  <w14:solidFill>
                    <w14:schemeClr w14:val="tx1"/>
                  </w14:solidFill>
                </w14:textFill>
              </w:rPr>
              <w:t>四、保险市场</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1</w:t>
            </w:r>
            <w:r>
              <w:rPr>
                <w:rFonts w:hint="eastAsia" w:ascii="方正仿宋_GBK"/>
                <w:color w:val="000000" w:themeColor="text1"/>
                <w:kern w:val="0"/>
                <w:sz w:val="24"/>
                <w:szCs w:val="24"/>
                <w14:textFill>
                  <w14:solidFill>
                    <w14:schemeClr w14:val="tx1"/>
                  </w14:solidFill>
                </w14:textFill>
              </w:rPr>
              <w:t>8</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保费收入（亿元）</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63.72</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100</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1</w:t>
            </w:r>
            <w:r>
              <w:rPr>
                <w:rFonts w:hint="eastAsia" w:ascii="方正仿宋_GBK"/>
                <w:color w:val="000000" w:themeColor="text1"/>
                <w:kern w:val="0"/>
                <w:sz w:val="24"/>
                <w:szCs w:val="24"/>
                <w14:textFill>
                  <w14:solidFill>
                    <w14:schemeClr w14:val="tx1"/>
                  </w14:solidFill>
                </w14:textFill>
              </w:rPr>
              <w:t>9</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保险深度（%）</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6.3</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7</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20</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保险密度（元/人）</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5590</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8500</w:t>
            </w:r>
          </w:p>
        </w:tc>
      </w:tr>
      <w:tr>
        <w:tblPrEx>
          <w:tblCellMar>
            <w:top w:w="0" w:type="dxa"/>
            <w:left w:w="57" w:type="dxa"/>
            <w:bottom w:w="0" w:type="dxa"/>
            <w:right w:w="57" w:type="dxa"/>
          </w:tblCellMar>
        </w:tblPrEx>
        <w:trPr>
          <w:trHeight w:val="0" w:hRule="atLeast"/>
          <w:jc w:val="center"/>
        </w:trPr>
        <w:tc>
          <w:tcPr>
            <w:tcW w:w="88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eastAsia="宋体"/>
                <w:color w:val="000000" w:themeColor="text1"/>
                <w:kern w:val="0"/>
                <w:sz w:val="24"/>
                <w:szCs w:val="24"/>
                <w14:textFill>
                  <w14:solidFill>
                    <w14:schemeClr w14:val="tx1"/>
                  </w14:solidFill>
                </w14:textFill>
              </w:rPr>
            </w:pPr>
            <w:r>
              <w:rPr>
                <w:rFonts w:hint="eastAsia" w:ascii="方正楷体_GBK" w:hAnsi="Calibri" w:eastAsia="方正楷体_GBK" w:cs="宋体"/>
                <w:b/>
                <w:bCs/>
                <w:color w:val="000000" w:themeColor="text1"/>
                <w:kern w:val="0"/>
                <w:sz w:val="24"/>
                <w:szCs w:val="24"/>
                <w14:textFill>
                  <w14:solidFill>
                    <w14:schemeClr w14:val="tx1"/>
                  </w14:solidFill>
                </w14:textFill>
              </w:rPr>
              <w:t>五、绿色金融</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21</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绿色信贷年均增速</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约束性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不低于各项贷款平均增速</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22</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绿色信贷占比</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约束性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不低于全市平均水平</w:t>
            </w:r>
          </w:p>
        </w:tc>
      </w:tr>
      <w:tr>
        <w:tblPrEx>
          <w:tblCellMar>
            <w:top w:w="0" w:type="dxa"/>
            <w:left w:w="57" w:type="dxa"/>
            <w:bottom w:w="0" w:type="dxa"/>
            <w:right w:w="57" w:type="dxa"/>
          </w:tblCellMar>
        </w:tblPrEx>
        <w:trPr>
          <w:trHeight w:val="0" w:hRule="atLeast"/>
          <w:jc w:val="center"/>
        </w:trPr>
        <w:tc>
          <w:tcPr>
            <w:tcW w:w="88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eastAsia="宋体"/>
                <w:color w:val="000000" w:themeColor="text1"/>
                <w:kern w:val="0"/>
                <w:sz w:val="24"/>
                <w:szCs w:val="24"/>
                <w14:textFill>
                  <w14:solidFill>
                    <w14:schemeClr w14:val="tx1"/>
                  </w14:solidFill>
                </w14:textFill>
              </w:rPr>
            </w:pPr>
            <w:r>
              <w:rPr>
                <w:rFonts w:hint="eastAsia" w:ascii="方正楷体_GBK" w:hAnsi="Calibri" w:eastAsia="方正楷体_GBK" w:cs="宋体"/>
                <w:b/>
                <w:bCs/>
                <w:color w:val="000000" w:themeColor="text1"/>
                <w:kern w:val="0"/>
                <w:sz w:val="24"/>
                <w:szCs w:val="24"/>
                <w14:textFill>
                  <w14:solidFill>
                    <w14:schemeClr w14:val="tx1"/>
                  </w14:solidFill>
                </w14:textFill>
              </w:rPr>
              <w:t>六、其他</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23</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金融IP渗透率</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预期性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川南渝西领先、全市前列水平</w:t>
            </w:r>
          </w:p>
        </w:tc>
      </w:tr>
      <w:tr>
        <w:tblPrEx>
          <w:tblCellMar>
            <w:top w:w="0" w:type="dxa"/>
            <w:left w:w="57" w:type="dxa"/>
            <w:bottom w:w="0" w:type="dxa"/>
            <w:right w:w="57" w:type="dxa"/>
          </w:tblCellMar>
        </w:tblPrEx>
        <w:trPr>
          <w:trHeight w:val="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uto"/>
              <w:jc w:val="center"/>
              <w:rPr>
                <w:rFonts w:ascii="方正仿宋_GBK"/>
                <w:color w:val="000000" w:themeColor="text1"/>
                <w:kern w:val="0"/>
                <w:sz w:val="24"/>
                <w:szCs w:val="24"/>
                <w14:textFill>
                  <w14:solidFill>
                    <w14:schemeClr w14:val="tx1"/>
                  </w14:solidFill>
                </w14:textFill>
              </w:rPr>
            </w:pPr>
            <w:r>
              <w:rPr>
                <w:rFonts w:hint="eastAsia" w:ascii="方正仿宋_GBK"/>
                <w:color w:val="000000" w:themeColor="text1"/>
                <w:kern w:val="0"/>
                <w:sz w:val="24"/>
                <w:szCs w:val="24"/>
                <w14:textFill>
                  <w14:solidFill>
                    <w14:schemeClr w14:val="tx1"/>
                  </w14:solidFill>
                </w14:textFill>
              </w:rPr>
              <w:t>24</w:t>
            </w:r>
          </w:p>
        </w:tc>
        <w:tc>
          <w:tcPr>
            <w:tcW w:w="3771"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银行不良贷款率（%）</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约束性</w:t>
            </w:r>
          </w:p>
        </w:tc>
        <w:tc>
          <w:tcPr>
            <w:tcW w:w="1325"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低于全市平均水平</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val="0"/>
              <w:snapToGrid w:val="0"/>
              <w:spacing w:line="240" w:lineRule="auto"/>
              <w:rPr>
                <w:rFonts w:ascii="方正仿宋_GBK"/>
                <w:color w:val="000000" w:themeColor="text1"/>
                <w:kern w:val="0"/>
                <w:sz w:val="24"/>
                <w:szCs w:val="24"/>
                <w14:textFill>
                  <w14:solidFill>
                    <w14:schemeClr w14:val="tx1"/>
                  </w14:solidFill>
                </w14:textFill>
              </w:rPr>
            </w:pPr>
            <w:r>
              <w:rPr>
                <w:rFonts w:ascii="方正仿宋_GBK"/>
                <w:color w:val="000000" w:themeColor="text1"/>
                <w:kern w:val="0"/>
                <w:sz w:val="24"/>
                <w:szCs w:val="24"/>
                <w14:textFill>
                  <w14:solidFill>
                    <w14:schemeClr w14:val="tx1"/>
                  </w14:solidFill>
                </w14:textFill>
              </w:rPr>
              <w:t>低于全市平均水平</w:t>
            </w:r>
          </w:p>
        </w:tc>
      </w:tr>
    </w:tbl>
    <w:p>
      <w:pPr>
        <w:widowControl w:val="0"/>
        <w:snapToGrid w:val="0"/>
        <w:spacing w:line="276" w:lineRule="auto"/>
        <w:ind w:firstLine="480"/>
        <w:rPr>
          <w:rFonts w:hint="eastAsia" w:ascii="方正楷体_GBK" w:hAnsi="Calibri" w:eastAsia="方正楷体_GBK" w:cs="宋体"/>
          <w:kern w:val="0"/>
          <w:sz w:val="24"/>
          <w:szCs w:val="24"/>
        </w:rPr>
      </w:pPr>
      <w:r>
        <w:rPr>
          <w:rFonts w:hint="eastAsia" w:ascii="方正楷体_GBK" w:hAnsi="Calibri" w:eastAsia="方正楷体_GBK" w:cs="宋体"/>
          <w:kern w:val="0"/>
          <w:sz w:val="24"/>
          <w:szCs w:val="24"/>
        </w:rPr>
        <w:t>备注：带【】为五年累计数。</w:t>
      </w:r>
    </w:p>
    <w:p>
      <w:pPr>
        <w:widowControl w:val="0"/>
        <w:snapToGrid w:val="0"/>
        <w:spacing w:line="276" w:lineRule="auto"/>
        <w:ind w:firstLine="480"/>
        <w:rPr>
          <w:rFonts w:hint="eastAsia" w:ascii="方正楷体_GBK" w:hAnsi="Calibri" w:eastAsia="方正楷体_GBK" w:cs="宋体"/>
          <w:kern w:val="0"/>
          <w:sz w:val="32"/>
          <w:szCs w:val="32"/>
        </w:rPr>
      </w:pPr>
    </w:p>
    <w:p>
      <w:pPr>
        <w:widowControl w:val="0"/>
        <w:snapToGrid w:val="0"/>
        <w:spacing w:before="0" w:after="0" w:line="276" w:lineRule="auto"/>
        <w:jc w:val="center"/>
        <w:rPr>
          <w:rFonts w:hint="eastAsia" w:ascii="方正黑体_GBK" w:hAnsi="Calibri" w:eastAsia="方正黑体_GBK" w:cs="宋体"/>
          <w:kern w:val="0"/>
          <w:sz w:val="32"/>
          <w:szCs w:val="32"/>
        </w:rPr>
      </w:pPr>
      <w:bookmarkStart w:id="57" w:name="_Toc3499"/>
      <w:bookmarkEnd w:id="57"/>
      <w:r>
        <w:rPr>
          <w:rFonts w:hint="eastAsia" w:ascii="方正黑体_GBK" w:hAnsi="Calibri" w:eastAsia="方正黑体_GBK" w:cs="宋体"/>
          <w:kern w:val="0"/>
          <w:sz w:val="32"/>
          <w:szCs w:val="32"/>
        </w:rPr>
        <w:t>第三章  发展定位与战略布局</w:t>
      </w:r>
    </w:p>
    <w:p>
      <w:pPr>
        <w:widowControl w:val="0"/>
        <w:snapToGrid w:val="0"/>
        <w:spacing w:line="276" w:lineRule="auto"/>
        <w:ind w:firstLine="480" w:firstLineChars="0"/>
        <w:rPr>
          <w:rFonts w:hint="eastAsia" w:ascii="方正楷体_GBK" w:hAnsi="Calibri" w:eastAsia="方正楷体_GBK" w:cs="宋体"/>
          <w:kern w:val="0"/>
          <w:szCs w:val="32"/>
        </w:rPr>
      </w:pPr>
      <w:bookmarkStart w:id="58" w:name="_Toc54271085"/>
      <w:bookmarkEnd w:id="58"/>
    </w:p>
    <w:p>
      <w:pPr>
        <w:widowControl w:val="0"/>
        <w:snapToGrid w:val="0"/>
        <w:spacing w:line="276" w:lineRule="auto"/>
        <w:ind w:firstLine="640" w:firstLineChars="200"/>
        <w:rPr>
          <w:rFonts w:ascii="方正仿宋_GBK" w:hAnsi="Calibri" w:cs="宋体"/>
          <w:kern w:val="0"/>
          <w:szCs w:val="32"/>
        </w:rPr>
      </w:pPr>
      <w:r>
        <w:rPr>
          <w:rFonts w:hint="eastAsia" w:ascii="方正仿宋_GBK" w:hAnsi="Calibri" w:cs="宋体"/>
          <w:kern w:val="0"/>
          <w:szCs w:val="32"/>
        </w:rPr>
        <w:t>“十四五”时期，永川区金融业将紧紧围绕“成渝地区双城经济圈区域性金融枢纽，重庆主城都市区现代化创新型金融中心”发展定位，实施“</w:t>
      </w:r>
      <w:r>
        <w:rPr>
          <w:rFonts w:ascii="方正仿宋_GBK" w:hAnsi="Calibri" w:cs="宋体"/>
          <w:kern w:val="0"/>
          <w:szCs w:val="32"/>
        </w:rPr>
        <w:t>1234</w:t>
      </w:r>
      <w:r>
        <w:rPr>
          <w:rFonts w:hint="eastAsia" w:ascii="方正仿宋_GBK" w:hAnsi="Calibri" w:cs="宋体"/>
          <w:kern w:val="0"/>
          <w:szCs w:val="32"/>
        </w:rPr>
        <w:t>”发展战略，</w:t>
      </w:r>
      <w:r>
        <w:rPr>
          <w:rFonts w:ascii="方正仿宋_GBK" w:hAnsi="Calibri" w:cs="宋体"/>
          <w:kern w:val="0"/>
          <w:szCs w:val="32"/>
        </w:rPr>
        <w:t>实现高质量发展。</w:t>
      </w:r>
    </w:p>
    <w:p>
      <w:pPr>
        <w:widowControl w:val="0"/>
        <w:snapToGrid w:val="0"/>
        <w:spacing w:line="276" w:lineRule="auto"/>
        <w:ind w:firstLine="640" w:firstLineChars="200"/>
        <w:rPr>
          <w:rFonts w:hint="eastAsia" w:ascii="方正仿宋_GBK" w:hAnsi="Calibri" w:cs="宋体"/>
          <w:kern w:val="0"/>
          <w:szCs w:val="32"/>
        </w:rPr>
      </w:pPr>
    </w:p>
    <w:p>
      <w:pPr>
        <w:widowControl w:val="0"/>
        <w:snapToGrid w:val="0"/>
        <w:spacing w:before="0" w:after="0" w:line="276" w:lineRule="auto"/>
        <w:jc w:val="center"/>
        <w:rPr>
          <w:rFonts w:ascii="方正黑体_GBK" w:hAnsi="Calibri" w:eastAsia="方正黑体_GBK" w:cs="宋体"/>
          <w:kern w:val="0"/>
          <w:szCs w:val="32"/>
        </w:rPr>
      </w:pPr>
      <w:bookmarkStart w:id="59" w:name="_Toc26957"/>
      <w:bookmarkEnd w:id="59"/>
      <w:r>
        <w:rPr>
          <w:rFonts w:hint="eastAsia" w:ascii="方正黑体_GBK" w:hAnsi="Calibri" w:eastAsia="方正黑体_GBK" w:cs="宋体"/>
          <w:kern w:val="0"/>
          <w:szCs w:val="32"/>
        </w:rPr>
        <w:t>第一节  “枢纽+中心”定位</w:t>
      </w:r>
    </w:p>
    <w:p>
      <w:pPr>
        <w:widowControl w:val="0"/>
        <w:snapToGrid w:val="0"/>
        <w:spacing w:line="276" w:lineRule="auto"/>
        <w:ind w:firstLine="640" w:firstLineChars="200"/>
        <w:rPr>
          <w:rFonts w:ascii="方正仿宋_GBK" w:hAnsi="Calibri" w:cs="宋体"/>
          <w:kern w:val="0"/>
          <w:szCs w:val="32"/>
        </w:rPr>
      </w:pP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成渝地区双城经济圈区域性金融枢纽。坚持金融开放，坚持跨区域合作，面向成渝地区双城经济圈，发挥区域性金融枢纽作用，提升区域性集聚辐射力，促进金融资源要素按市场规律的高效流动配置，构建金融对内对外开放新格局，努力将永川区建设成为辐射</w:t>
      </w:r>
      <w:r>
        <w:rPr>
          <w:rFonts w:hint="eastAsia" w:ascii="方正仿宋_GBK" w:hAnsi="Calibri" w:cs="宋体"/>
          <w:kern w:val="0"/>
          <w:szCs w:val="32"/>
        </w:rPr>
        <w:t>主城都市区</w:t>
      </w:r>
      <w:r>
        <w:rPr>
          <w:rFonts w:ascii="方正仿宋_GBK" w:hAnsi="Calibri" w:cs="宋体"/>
          <w:kern w:val="0"/>
          <w:szCs w:val="32"/>
        </w:rPr>
        <w:t>、支撑成渝地区双城经</w:t>
      </w:r>
      <w:r>
        <w:rPr>
          <w:rFonts w:hint="eastAsia" w:ascii="方正仿宋_GBK" w:hAnsi="Calibri" w:cs="宋体"/>
          <w:kern w:val="0"/>
          <w:szCs w:val="32"/>
        </w:rPr>
        <w:t>济圈“中部崛起”的</w:t>
      </w:r>
      <w:r>
        <w:rPr>
          <w:rFonts w:ascii="方正仿宋_GBK" w:hAnsi="Calibri" w:cs="宋体"/>
          <w:kern w:val="0"/>
          <w:szCs w:val="32"/>
        </w:rPr>
        <w:t>区域金融开放高地。</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重庆主城都市区现代化创新型金融中心。坚持现代化，以高质量发展为主题，提升金融业态、金融功能、金融服务三大能级，努力将永川区建设成为有力支持重庆建设西部金融中心的现代化金融集聚地；坚持创新理念，坚持市场化，争创产融合作、金融科技两个先行试点，稳步开展供应链金融、绿色金融、文旅金融和普惠金融四大创新示范，努力将永川区建设成为主城都市区金融业创新发展的示范先行区。</w:t>
      </w:r>
    </w:p>
    <w:p>
      <w:pPr>
        <w:widowControl w:val="0"/>
        <w:snapToGrid w:val="0"/>
        <w:spacing w:line="276" w:lineRule="auto"/>
        <w:ind w:firstLine="640" w:firstLineChars="200"/>
        <w:rPr>
          <w:rFonts w:ascii="方正仿宋_GBK" w:hAnsi="Calibri" w:cs="宋体"/>
          <w:kern w:val="0"/>
          <w:szCs w:val="32"/>
        </w:rPr>
      </w:pPr>
    </w:p>
    <w:p>
      <w:pPr>
        <w:widowControl w:val="0"/>
        <w:snapToGrid w:val="0"/>
        <w:spacing w:before="0" w:after="0" w:line="276" w:lineRule="auto"/>
        <w:jc w:val="center"/>
        <w:rPr>
          <w:rFonts w:ascii="方正黑体_GBK" w:hAnsi="Calibri" w:eastAsia="方正黑体_GBK" w:cs="宋体"/>
          <w:kern w:val="0"/>
          <w:szCs w:val="32"/>
        </w:rPr>
      </w:pPr>
      <w:bookmarkStart w:id="60" w:name="_Toc13539"/>
      <w:bookmarkEnd w:id="60"/>
      <w:r>
        <w:rPr>
          <w:rFonts w:hint="eastAsia" w:ascii="方正黑体_GBK" w:hAnsi="Calibri" w:eastAsia="方正黑体_GBK" w:cs="宋体"/>
          <w:kern w:val="0"/>
          <w:szCs w:val="32"/>
        </w:rPr>
        <w:t>第二节  “1234”发展战略</w:t>
      </w:r>
    </w:p>
    <w:p>
      <w:pPr>
        <w:widowControl w:val="0"/>
        <w:snapToGrid w:val="0"/>
        <w:spacing w:line="276" w:lineRule="auto"/>
        <w:ind w:firstLine="640" w:firstLineChars="200"/>
        <w:rPr>
          <w:rFonts w:hint="eastAsia" w:ascii="方正仿宋_GBK" w:hAnsi="Calibri" w:cs="宋体"/>
          <w:kern w:val="0"/>
          <w:szCs w:val="32"/>
        </w:rPr>
      </w:pPr>
    </w:p>
    <w:p>
      <w:pPr>
        <w:widowControl w:val="0"/>
        <w:snapToGrid w:val="0"/>
        <w:spacing w:line="276" w:lineRule="auto"/>
        <w:ind w:firstLine="640" w:firstLineChars="200"/>
        <w:rPr>
          <w:rFonts w:hint="eastAsia" w:ascii="方正仿宋_GBK" w:hAnsi="Calibri" w:cs="宋体"/>
          <w:kern w:val="0"/>
          <w:szCs w:val="32"/>
        </w:rPr>
      </w:pPr>
      <w:r>
        <w:rPr>
          <w:rFonts w:hint="eastAsia" w:ascii="方正仿宋_GBK" w:hAnsi="Calibri" w:cs="宋体"/>
          <w:kern w:val="0"/>
          <w:szCs w:val="32"/>
          <w:lang w:eastAsia="zh-CN"/>
        </w:rPr>
        <w:t>“</w:t>
      </w:r>
      <w:r>
        <w:rPr>
          <w:rFonts w:ascii="方正仿宋_GBK" w:hAnsi="Calibri" w:cs="宋体"/>
          <w:kern w:val="0"/>
          <w:szCs w:val="32"/>
        </w:rPr>
        <w:t>1</w:t>
      </w:r>
      <w:r>
        <w:rPr>
          <w:rFonts w:hint="eastAsia" w:ascii="方正仿宋_GBK" w:hAnsi="Calibri" w:cs="宋体"/>
          <w:kern w:val="0"/>
          <w:szCs w:val="32"/>
        </w:rPr>
        <w:t>”</w:t>
      </w:r>
      <w:r>
        <w:rPr>
          <w:rFonts w:ascii="方正仿宋_GBK" w:hAnsi="Calibri" w:cs="宋体"/>
          <w:kern w:val="0"/>
          <w:szCs w:val="32"/>
        </w:rPr>
        <w:t>，建</w:t>
      </w:r>
      <w:r>
        <w:rPr>
          <w:rFonts w:hint="eastAsia" w:ascii="方正仿宋_GBK" w:hAnsi="Calibri" w:cs="宋体"/>
          <w:kern w:val="0"/>
          <w:szCs w:val="32"/>
        </w:rPr>
        <w:t>设“一个开放高地”</w:t>
      </w:r>
      <w:r>
        <w:rPr>
          <w:rFonts w:ascii="方正仿宋_GBK" w:hAnsi="Calibri" w:cs="宋体"/>
          <w:kern w:val="0"/>
          <w:szCs w:val="32"/>
        </w:rPr>
        <w:t>。立</w:t>
      </w:r>
      <w:r>
        <w:rPr>
          <w:rFonts w:hint="eastAsia" w:ascii="方正仿宋_GBK" w:hAnsi="Calibri" w:cs="宋体"/>
          <w:kern w:val="0"/>
          <w:szCs w:val="32"/>
        </w:rPr>
        <w:t>足“成渝地区双城经济圈区域性金融枢纽，重庆主城都市区现代化创新型金融中心”发</w:t>
      </w:r>
      <w:r>
        <w:rPr>
          <w:rFonts w:ascii="方正仿宋_GBK" w:hAnsi="Calibri" w:cs="宋体"/>
          <w:kern w:val="0"/>
          <w:szCs w:val="32"/>
        </w:rPr>
        <w:t>展定位，发挥永川区机构集中、资金融通、业务创新和信息集中的枢纽作用，提升永川区金融业的区域性集聚辐射力，将永川区建设成为辐射</w:t>
      </w:r>
      <w:r>
        <w:rPr>
          <w:rFonts w:hint="eastAsia" w:ascii="方正仿宋_GBK" w:hAnsi="Calibri" w:cs="宋体"/>
          <w:kern w:val="0"/>
          <w:szCs w:val="32"/>
        </w:rPr>
        <w:t>主城都市区</w:t>
      </w:r>
      <w:r>
        <w:rPr>
          <w:rFonts w:ascii="方正仿宋_GBK" w:hAnsi="Calibri" w:cs="宋体"/>
          <w:kern w:val="0"/>
          <w:szCs w:val="32"/>
        </w:rPr>
        <w:t>、支撑成渝地区</w:t>
      </w:r>
      <w:r>
        <w:rPr>
          <w:rFonts w:hint="eastAsia" w:ascii="方正仿宋_GBK" w:hAnsi="Calibri" w:cs="宋体"/>
          <w:kern w:val="0"/>
          <w:szCs w:val="32"/>
        </w:rPr>
        <w:t>双城经济圈“中部崛起”的</w:t>
      </w:r>
      <w:r>
        <w:rPr>
          <w:rFonts w:ascii="方正仿宋_GBK" w:hAnsi="Calibri" w:cs="宋体"/>
          <w:kern w:val="0"/>
          <w:szCs w:val="32"/>
        </w:rPr>
        <w:t>区域金融开放高地。</w:t>
      </w:r>
    </w:p>
    <w:p>
      <w:pPr>
        <w:widowControl w:val="0"/>
        <w:snapToGrid w:val="0"/>
        <w:spacing w:line="276" w:lineRule="auto"/>
        <w:ind w:firstLine="640" w:firstLineChars="200"/>
        <w:rPr>
          <w:rFonts w:ascii="方正仿宋_GBK" w:hAnsi="Calibri" w:cs="宋体"/>
          <w:kern w:val="0"/>
          <w:szCs w:val="32"/>
        </w:rPr>
      </w:pPr>
      <w:r>
        <w:rPr>
          <w:rFonts w:hint="eastAsia" w:ascii="方正仿宋_GBK" w:hAnsi="Calibri" w:cs="宋体"/>
          <w:kern w:val="0"/>
          <w:szCs w:val="32"/>
        </w:rPr>
        <w:t>“</w:t>
      </w:r>
      <w:r>
        <w:rPr>
          <w:rFonts w:ascii="方正仿宋_GBK" w:hAnsi="Calibri" w:cs="宋体"/>
          <w:kern w:val="0"/>
          <w:szCs w:val="32"/>
        </w:rPr>
        <w:t>2</w:t>
      </w:r>
      <w:r>
        <w:rPr>
          <w:rFonts w:hint="eastAsia" w:ascii="方正仿宋_GBK" w:hAnsi="Calibri" w:cs="宋体"/>
          <w:kern w:val="0"/>
          <w:szCs w:val="32"/>
        </w:rPr>
        <w:t>”</w:t>
      </w:r>
      <w:r>
        <w:rPr>
          <w:rFonts w:ascii="方正仿宋_GBK" w:hAnsi="Calibri" w:cs="宋体"/>
          <w:kern w:val="0"/>
          <w:szCs w:val="32"/>
        </w:rPr>
        <w:t>，争创</w:t>
      </w:r>
      <w:r>
        <w:rPr>
          <w:rFonts w:hint="eastAsia" w:ascii="方正仿宋_GBK" w:hAnsi="Calibri" w:cs="宋体"/>
          <w:kern w:val="0"/>
          <w:szCs w:val="32"/>
        </w:rPr>
        <w:t>“两个先行试点”</w:t>
      </w:r>
      <w:r>
        <w:rPr>
          <w:rFonts w:ascii="方正仿宋_GBK" w:hAnsi="Calibri" w:cs="宋体"/>
          <w:kern w:val="0"/>
          <w:szCs w:val="32"/>
        </w:rPr>
        <w:t>。立足实体经济发展需求，加大</w:t>
      </w:r>
      <w:r>
        <w:rPr>
          <w:rFonts w:hint="eastAsia" w:ascii="方正仿宋_GBK" w:hAnsi="Calibri" w:cs="宋体"/>
          <w:kern w:val="0"/>
          <w:szCs w:val="32"/>
        </w:rPr>
        <w:t>产业集群的金融扶持力度，提高“产、城、景”融资水平，不断推进金融与产业的深度融合，争创国家级产融合作试点。立足培育“金融+科技”的创新生态圈，创新金融科技业务，加强科技创新的金融支持，争创市级首批金融科技应用试点。</w:t>
      </w:r>
    </w:p>
    <w:p>
      <w:pPr>
        <w:widowControl w:val="0"/>
        <w:snapToGrid w:val="0"/>
        <w:spacing w:line="276" w:lineRule="auto"/>
        <w:ind w:firstLine="640" w:firstLineChars="200"/>
        <w:rPr>
          <w:rFonts w:hint="eastAsia" w:ascii="方正仿宋_GBK" w:hAnsi="Calibri" w:cs="宋体"/>
          <w:kern w:val="0"/>
          <w:szCs w:val="32"/>
        </w:rPr>
      </w:pPr>
      <w:r>
        <w:rPr>
          <w:rFonts w:hint="eastAsia" w:ascii="方正仿宋_GBK" w:hAnsi="Calibri" w:cs="宋体"/>
          <w:kern w:val="0"/>
          <w:szCs w:val="32"/>
        </w:rPr>
        <w:t>“</w:t>
      </w:r>
      <w:r>
        <w:rPr>
          <w:rFonts w:ascii="方正仿宋_GBK" w:hAnsi="Calibri" w:cs="宋体"/>
          <w:kern w:val="0"/>
          <w:szCs w:val="32"/>
        </w:rPr>
        <w:t>3</w:t>
      </w:r>
      <w:r>
        <w:rPr>
          <w:rFonts w:hint="eastAsia" w:ascii="方正仿宋_GBK" w:hAnsi="Calibri" w:cs="宋体"/>
          <w:kern w:val="0"/>
          <w:szCs w:val="32"/>
        </w:rPr>
        <w:t>”</w:t>
      </w:r>
      <w:r>
        <w:rPr>
          <w:rFonts w:ascii="方正仿宋_GBK" w:hAnsi="Calibri" w:cs="宋体"/>
          <w:kern w:val="0"/>
          <w:szCs w:val="32"/>
        </w:rPr>
        <w:t>，健</w:t>
      </w:r>
      <w:r>
        <w:rPr>
          <w:rFonts w:hint="eastAsia" w:ascii="方正仿宋_GBK" w:hAnsi="Calibri" w:cs="宋体"/>
          <w:kern w:val="0"/>
          <w:szCs w:val="32"/>
        </w:rPr>
        <w:t>全“三大金融体系”</w:t>
      </w:r>
      <w:r>
        <w:rPr>
          <w:rFonts w:ascii="方正仿宋_GBK" w:hAnsi="Calibri" w:cs="宋体"/>
          <w:kern w:val="0"/>
          <w:szCs w:val="32"/>
        </w:rPr>
        <w:t>。深化金融业态体系，持续推进传统金融业态提档增效，加快培育新型金融机构与新型金融业态，不断完善金融专业中介；强化金融功能体系，重点强化资金融通、支付结算与保险保障功能，实现业态体系与功能体系协同发展；优化金融服务体系，做优金融后台服务、做精专业融智服务、做强金融人才服务，助推金融生态良好发展。</w:t>
      </w:r>
    </w:p>
    <w:p>
      <w:pPr>
        <w:widowControl w:val="0"/>
        <w:snapToGrid w:val="0"/>
        <w:spacing w:line="276" w:lineRule="auto"/>
        <w:ind w:firstLine="640" w:firstLineChars="200"/>
        <w:rPr>
          <w:rFonts w:ascii="方正仿宋_GBK" w:hAnsi="Calibri" w:cs="宋体"/>
          <w:kern w:val="0"/>
          <w:szCs w:val="32"/>
        </w:rPr>
      </w:pPr>
      <w:r>
        <w:rPr>
          <w:rFonts w:hint="eastAsia" w:ascii="方正仿宋_GBK" w:hAnsi="Calibri" w:cs="宋体"/>
          <w:kern w:val="0"/>
          <w:szCs w:val="32"/>
        </w:rPr>
        <w:t>“</w:t>
      </w:r>
      <w:r>
        <w:rPr>
          <w:rFonts w:ascii="方正仿宋_GBK" w:hAnsi="Calibri" w:cs="宋体"/>
          <w:kern w:val="0"/>
          <w:szCs w:val="32"/>
        </w:rPr>
        <w:t>4</w:t>
      </w:r>
      <w:r>
        <w:rPr>
          <w:rFonts w:hint="eastAsia" w:ascii="方正仿宋_GBK" w:hAnsi="Calibri" w:cs="宋体"/>
          <w:kern w:val="0"/>
          <w:szCs w:val="32"/>
        </w:rPr>
        <w:t>”</w:t>
      </w:r>
      <w:r>
        <w:rPr>
          <w:rFonts w:ascii="方正仿宋_GBK" w:hAnsi="Calibri" w:cs="宋体"/>
          <w:kern w:val="0"/>
          <w:szCs w:val="32"/>
        </w:rPr>
        <w:t>，开</w:t>
      </w:r>
      <w:r>
        <w:rPr>
          <w:rFonts w:hint="eastAsia" w:ascii="方正仿宋_GBK" w:hAnsi="Calibri" w:cs="宋体"/>
          <w:kern w:val="0"/>
          <w:szCs w:val="32"/>
        </w:rPr>
        <w:t>展“四项创新示范”</w:t>
      </w:r>
      <w:r>
        <w:rPr>
          <w:rFonts w:ascii="方正仿宋_GBK" w:hAnsi="Calibri" w:cs="宋体"/>
          <w:kern w:val="0"/>
          <w:szCs w:val="32"/>
        </w:rPr>
        <w:t>。立足永川区经济社会发展实际与产业特点，结合全市金融业创新发展的政策机遇，积极争取国家、重庆市在供应链金融、绿色金融、文旅金融和普惠金融领域的相关创新示范政策支持，在金融业态、功能、服务体系不断完善的基础上，开展四大金融领域的创新示范区建设。</w:t>
      </w:r>
      <w:bookmarkStart w:id="61" w:name="_Toc54271087"/>
      <w:bookmarkEnd w:id="61"/>
    </w:p>
    <w:p>
      <w:pPr>
        <w:widowControl w:val="0"/>
        <w:snapToGrid w:val="0"/>
        <w:spacing w:line="276" w:lineRule="auto"/>
        <w:ind w:firstLine="640" w:firstLineChars="200"/>
        <w:rPr>
          <w:rFonts w:ascii="方正仿宋_GBK" w:hAnsi="Calibri" w:cs="宋体"/>
          <w:kern w:val="0"/>
          <w:szCs w:val="32"/>
        </w:rPr>
      </w:pPr>
    </w:p>
    <w:p>
      <w:pPr>
        <w:widowControl w:val="0"/>
        <w:snapToGrid w:val="0"/>
        <w:spacing w:before="0" w:after="0" w:line="276" w:lineRule="auto"/>
        <w:jc w:val="center"/>
        <w:rPr>
          <w:rFonts w:ascii="方正黑体_GBK" w:hAnsi="Calibri" w:eastAsia="方正黑体_GBK" w:cs="宋体"/>
          <w:kern w:val="0"/>
          <w:sz w:val="32"/>
          <w:szCs w:val="32"/>
        </w:rPr>
      </w:pPr>
      <w:r>
        <w:rPr>
          <w:rFonts w:hint="eastAsia" w:ascii="方正黑体_GBK" w:hAnsi="方正黑体_GBK" w:eastAsia="方正黑体_GBK" w:cs="方正黑体_GBK"/>
          <w:kern w:val="0"/>
          <w:sz w:val="32"/>
          <w:szCs w:val="32"/>
        </w:rPr>
        <w:t>第四章</w:t>
      </w:r>
      <w:r>
        <w:rPr>
          <w:rFonts w:hint="eastAsia" w:ascii="方正黑体_GBK" w:hAnsi="方正黑体_GBK" w:eastAsia="方正黑体_GBK" w:cs="方正黑体_GBK"/>
          <w:kern w:val="0"/>
          <w:sz w:val="32"/>
          <w:szCs w:val="32"/>
          <w:lang w:eastAsia="zh-CN"/>
        </w:rPr>
        <w:t xml:space="preserve"> </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建设“一个开放高地”</w:t>
      </w:r>
    </w:p>
    <w:p>
      <w:pPr>
        <w:widowControl w:val="0"/>
        <w:snapToGrid w:val="0"/>
        <w:spacing w:line="276" w:lineRule="auto"/>
        <w:ind w:firstLine="640" w:firstLineChars="200"/>
        <w:rPr>
          <w:rFonts w:hint="eastAsia" w:ascii="方正仿宋_GBK" w:hAnsi="Calibri" w:cs="宋体"/>
          <w:kern w:val="0"/>
          <w:szCs w:val="32"/>
        </w:rPr>
      </w:pPr>
    </w:p>
    <w:p>
      <w:pPr>
        <w:widowControl w:val="0"/>
        <w:snapToGrid w:val="0"/>
        <w:spacing w:line="276" w:lineRule="auto"/>
        <w:ind w:firstLine="640" w:firstLineChars="200"/>
        <w:rPr>
          <w:rFonts w:hint="eastAsia" w:ascii="方正仿宋_GBK" w:hAnsi="Calibri" w:cs="宋体"/>
          <w:kern w:val="0"/>
          <w:szCs w:val="32"/>
        </w:rPr>
      </w:pPr>
      <w:r>
        <w:rPr>
          <w:rFonts w:hint="eastAsia" w:ascii="方正仿宋_GBK" w:hAnsi="Calibri" w:cs="宋体"/>
          <w:kern w:val="0"/>
          <w:szCs w:val="32"/>
        </w:rPr>
        <w:t>立足“成渝地区双城经济圈区域性金融枢纽，重庆主城都市区现代化创新型金融中心”发展定位，坚持对内对外开放，主动融入“一带一路”和长江经济带建设、西部陆海新通道等发展战略，着力提升永川区金融业的集聚辐射力。</w:t>
      </w:r>
    </w:p>
    <w:p>
      <w:pPr>
        <w:widowControl w:val="0"/>
        <w:snapToGrid w:val="0"/>
        <w:spacing w:line="276" w:lineRule="auto"/>
        <w:ind w:firstLine="640" w:firstLineChars="200"/>
        <w:rPr>
          <w:rFonts w:hint="eastAsia" w:ascii="方正仿宋_GBK" w:hAnsi="Calibri" w:cs="宋体"/>
          <w:kern w:val="0"/>
          <w:szCs w:val="32"/>
        </w:rPr>
      </w:pPr>
    </w:p>
    <w:p>
      <w:pPr>
        <w:widowControl w:val="0"/>
        <w:snapToGrid w:val="0"/>
        <w:spacing w:before="0" w:after="0" w:line="276" w:lineRule="auto"/>
        <w:jc w:val="center"/>
        <w:rPr>
          <w:rFonts w:ascii="方正黑体_GBK" w:hAnsi="Calibri" w:eastAsia="方正黑体_GBK" w:cs="宋体"/>
          <w:kern w:val="0"/>
          <w:szCs w:val="32"/>
        </w:rPr>
      </w:pPr>
      <w:r>
        <w:rPr>
          <w:rFonts w:hint="eastAsia" w:ascii="方正黑体_GBK" w:hAnsi="Calibri" w:eastAsia="方正黑体_GBK" w:cs="宋体"/>
          <w:kern w:val="0"/>
          <w:szCs w:val="32"/>
        </w:rPr>
        <w:t>第一节</w:t>
      </w:r>
      <w:r>
        <w:rPr>
          <w:rFonts w:hint="eastAsia" w:ascii="方正黑体_GBK" w:hAnsi="Calibri" w:eastAsia="方正黑体_GBK" w:cs="宋体"/>
          <w:kern w:val="0"/>
          <w:szCs w:val="32"/>
          <w:lang w:val="en-US" w:eastAsia="zh-CN"/>
        </w:rPr>
        <w:t xml:space="preserve">  </w:t>
      </w:r>
      <w:r>
        <w:rPr>
          <w:rFonts w:hint="eastAsia" w:ascii="方正黑体_GBK" w:hAnsi="Calibri" w:eastAsia="方正黑体_GBK" w:cs="宋体"/>
          <w:kern w:val="0"/>
          <w:szCs w:val="32"/>
        </w:rPr>
        <w:t>开创金融开放新局面</w:t>
      </w:r>
    </w:p>
    <w:p>
      <w:pPr>
        <w:widowControl w:val="0"/>
        <w:snapToGrid w:val="0"/>
        <w:spacing w:line="276" w:lineRule="auto"/>
        <w:ind w:firstLine="640" w:firstLineChars="200"/>
        <w:rPr>
          <w:rFonts w:ascii="方正仿宋_GBK" w:hAnsi="Calibri" w:cs="宋体"/>
          <w:kern w:val="0"/>
          <w:szCs w:val="32"/>
        </w:rPr>
      </w:pP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坚定不移</w:t>
      </w:r>
      <w:r>
        <w:rPr>
          <w:rFonts w:hint="eastAsia" w:ascii="方正仿宋_GBK" w:hAnsi="Calibri" w:cs="宋体"/>
          <w:kern w:val="0"/>
          <w:szCs w:val="32"/>
        </w:rPr>
        <w:t>贯彻创新、协调、绿色、开放、共享的新发展理念，紧跟国家和重庆市金融开放步伐，积极融入国家“一带一路”、中国—东盟自由贸易区、重庆打造内陆国际金融中心和共建西部金融中心等对外开放重大战略，加大开放力度，促进跨境金融协作。支持国际或东盟地区金融机构在永设立服务西部陆海新通道和“一带一路”的展业</w:t>
      </w:r>
      <w:r>
        <w:rPr>
          <w:rFonts w:ascii="方正仿宋_GBK" w:hAnsi="Calibri" w:cs="宋体"/>
          <w:kern w:val="0"/>
          <w:szCs w:val="32"/>
        </w:rPr>
        <w:t>（运营）</w:t>
      </w:r>
      <w:r>
        <w:rPr>
          <w:rFonts w:hint="eastAsia" w:ascii="方正仿宋_GBK" w:hAnsi="Calibri" w:cs="宋体"/>
          <w:kern w:val="0"/>
          <w:szCs w:val="32"/>
        </w:rPr>
        <w:t>中心或代表处。适时开展资本项下和国内资本市场的“双资本改革开放”。加大政策对接力度，争取中新（重庆）示范项目和重庆自贸试验区涉及金融领域的项目或政策在永落地，推动资本项目外汇管理改革创新试点</w:t>
      </w:r>
      <w:r>
        <w:rPr>
          <w:rFonts w:ascii="方正仿宋_GBK" w:hAnsi="Calibri" w:cs="宋体"/>
          <w:kern w:val="0"/>
          <w:szCs w:val="32"/>
        </w:rPr>
        <w:t>、放宽银证保外资金融机构设立限制和业务范围等金融开放政策落地，拓展中外金融市场合作领域，帮助企业通过海外债券发行、跨境银团贷款等方式获得国际融资，开展一批</w:t>
      </w:r>
      <w:r>
        <w:rPr>
          <w:rFonts w:hint="eastAsia" w:ascii="方正仿宋_GBK" w:hAnsi="Calibri" w:cs="宋体"/>
          <w:kern w:val="0"/>
          <w:szCs w:val="32"/>
        </w:rPr>
        <w:t>如“跨</w:t>
      </w:r>
      <w:r>
        <w:rPr>
          <w:rFonts w:ascii="方正仿宋_GBK" w:hAnsi="Calibri" w:cs="宋体"/>
          <w:kern w:val="0"/>
          <w:szCs w:val="32"/>
        </w:rPr>
        <w:t>境REITS+银团</w:t>
      </w:r>
      <w:r>
        <w:rPr>
          <w:rFonts w:hint="eastAsia" w:ascii="方正仿宋_GBK" w:hAnsi="Calibri" w:cs="宋体"/>
          <w:kern w:val="0"/>
          <w:szCs w:val="32"/>
        </w:rPr>
        <w:t>贷款”</w:t>
      </w:r>
      <w:r>
        <w:rPr>
          <w:rFonts w:ascii="方正仿宋_GBK" w:hAnsi="Calibri" w:cs="宋体"/>
          <w:kern w:val="0"/>
          <w:szCs w:val="32"/>
        </w:rPr>
        <w:t>等亮点项目，带动人流、物流、信息流、资金流加速汇聚。</w:t>
      </w:r>
    </w:p>
    <w:tbl>
      <w:tblPr>
        <w:tblStyle w:val="7"/>
        <w:tblW w:w="8845" w:type="dxa"/>
        <w:jc w:val="center"/>
        <w:tblLayout w:type="fixed"/>
        <w:tblCellMar>
          <w:top w:w="0" w:type="dxa"/>
          <w:left w:w="108" w:type="dxa"/>
          <w:bottom w:w="0" w:type="dxa"/>
          <w:right w:w="108" w:type="dxa"/>
        </w:tblCellMar>
      </w:tblPr>
      <w:tblGrid>
        <w:gridCol w:w="8845"/>
      </w:tblGrid>
      <w:tr>
        <w:tblPrEx>
          <w:tblCellMar>
            <w:top w:w="0" w:type="dxa"/>
            <w:left w:w="108" w:type="dxa"/>
            <w:bottom w:w="0" w:type="dxa"/>
            <w:right w:w="108" w:type="dxa"/>
          </w:tblCellMar>
        </w:tblPrEx>
        <w:trPr>
          <w:trHeight w:val="498" w:hRule="atLeast"/>
          <w:jc w:val="center"/>
        </w:trPr>
        <w:tc>
          <w:tcPr>
            <w:tcW w:w="88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方正黑体_GBK" w:hAnsi="Calibri" w:eastAsia="方正黑体_GBK" w:cs="宋体"/>
                <w:kern w:val="0"/>
                <w:sz w:val="24"/>
                <w:szCs w:val="24"/>
              </w:rPr>
            </w:pPr>
            <w:r>
              <w:rPr>
                <w:rFonts w:hint="eastAsia" w:ascii="方正黑体_GBK" w:hAnsi="Calibri" w:eastAsia="方正黑体_GBK" w:cs="宋体"/>
                <w:kern w:val="0"/>
                <w:sz w:val="24"/>
                <w:szCs w:val="24"/>
              </w:rPr>
              <w:t>专栏4：“十四五”时期永川区可试点的资本项目外汇管理改革创新</w:t>
            </w:r>
          </w:p>
        </w:tc>
      </w:tr>
      <w:tr>
        <w:tblPrEx>
          <w:tblCellMar>
            <w:top w:w="0" w:type="dxa"/>
            <w:left w:w="108" w:type="dxa"/>
            <w:bottom w:w="0" w:type="dxa"/>
            <w:right w:w="108" w:type="dxa"/>
          </w:tblCellMar>
        </w:tblPrEx>
        <w:trPr>
          <w:trHeight w:val="0" w:hRule="atLeast"/>
          <w:jc w:val="center"/>
        </w:trPr>
        <w:tc>
          <w:tcPr>
            <w:tcW w:w="8845" w:type="dxa"/>
            <w:tcBorders>
              <w:top w:val="single" w:color="000000" w:sz="4" w:space="0"/>
              <w:left w:val="single" w:color="000000" w:sz="4" w:space="0"/>
              <w:bottom w:val="single" w:color="000000" w:sz="4" w:space="0"/>
              <w:right w:val="single" w:color="000000" w:sz="4" w:space="0"/>
            </w:tcBorders>
            <w:tcMar>
              <w:top w:w="170" w:type="dxa"/>
              <w:left w:w="170" w:type="dxa"/>
              <w:bottom w:w="170" w:type="dxa"/>
              <w:right w:w="170" w:type="dxa"/>
            </w:tcMar>
            <w:vAlign w:val="center"/>
          </w:tcPr>
          <w:p>
            <w:pPr>
              <w:widowControl w:val="0"/>
              <w:snapToGrid w:val="0"/>
              <w:spacing w:line="240" w:lineRule="auto"/>
              <w:rPr>
                <w:rFonts w:ascii="方正仿宋_GBK"/>
                <w:kern w:val="0"/>
                <w:sz w:val="24"/>
                <w:szCs w:val="24"/>
              </w:rPr>
            </w:pPr>
            <w:r>
              <w:rPr>
                <w:rFonts w:hint="eastAsia" w:eastAsia="宋体"/>
                <w:kern w:val="0"/>
                <w:sz w:val="24"/>
                <w:szCs w:val="24"/>
              </w:rPr>
              <w:t xml:space="preserve">   </w:t>
            </w:r>
            <w:r>
              <w:rPr>
                <w:rFonts w:eastAsia="宋体"/>
                <w:kern w:val="0"/>
                <w:sz w:val="24"/>
                <w:szCs w:val="24"/>
              </w:rPr>
              <w:t>1</w:t>
            </w:r>
            <w:r>
              <w:rPr>
                <w:rFonts w:ascii="方正仿宋_GBK"/>
                <w:kern w:val="0"/>
                <w:sz w:val="24"/>
                <w:szCs w:val="24"/>
              </w:rPr>
              <w:t>.允许重庆市辖内企业外债管理模</w:t>
            </w:r>
            <w:r>
              <w:rPr>
                <w:rFonts w:hint="eastAsia" w:ascii="方正仿宋_GBK"/>
                <w:kern w:val="0"/>
                <w:sz w:val="24"/>
                <w:szCs w:val="24"/>
              </w:rPr>
              <w:t>式从“投注差”模式调</w:t>
            </w:r>
            <w:r>
              <w:rPr>
                <w:rFonts w:ascii="方正仿宋_GBK"/>
                <w:kern w:val="0"/>
                <w:sz w:val="24"/>
                <w:szCs w:val="24"/>
              </w:rPr>
              <w:t>整为跨境融资宏观审慎管理模式；</w:t>
            </w:r>
          </w:p>
          <w:p>
            <w:pPr>
              <w:widowControl w:val="0"/>
              <w:snapToGrid w:val="0"/>
              <w:spacing w:line="240" w:lineRule="auto"/>
              <w:rPr>
                <w:rFonts w:ascii="方正仿宋_GBK"/>
                <w:kern w:val="0"/>
                <w:sz w:val="24"/>
                <w:szCs w:val="24"/>
              </w:rPr>
            </w:pPr>
            <w:r>
              <w:rPr>
                <w:rFonts w:hint="eastAsia" w:ascii="方正仿宋_GBK"/>
                <w:kern w:val="0"/>
                <w:sz w:val="24"/>
                <w:szCs w:val="24"/>
              </w:rPr>
              <w:t xml:space="preserve">   </w:t>
            </w:r>
            <w:r>
              <w:rPr>
                <w:rFonts w:ascii="方正仿宋_GBK"/>
                <w:kern w:val="0"/>
                <w:sz w:val="24"/>
                <w:szCs w:val="24"/>
              </w:rPr>
              <w:t>2.取消非金融企业外债的逐笔登记，符合条件的企业可以在外汇局办理一次性外债登记，在登记金额内自行借入外债资金；</w:t>
            </w:r>
          </w:p>
          <w:p>
            <w:pPr>
              <w:widowControl w:val="0"/>
              <w:snapToGrid w:val="0"/>
              <w:spacing w:line="240" w:lineRule="auto"/>
              <w:rPr>
                <w:rFonts w:ascii="方正仿宋_GBK"/>
                <w:kern w:val="0"/>
                <w:sz w:val="24"/>
                <w:szCs w:val="24"/>
              </w:rPr>
            </w:pPr>
            <w:r>
              <w:rPr>
                <w:rFonts w:hint="eastAsia" w:ascii="方正仿宋_GBK"/>
                <w:kern w:val="0"/>
                <w:sz w:val="24"/>
                <w:szCs w:val="24"/>
              </w:rPr>
              <w:t xml:space="preserve">   </w:t>
            </w:r>
            <w:r>
              <w:rPr>
                <w:rFonts w:ascii="方正仿宋_GBK"/>
                <w:kern w:val="0"/>
                <w:sz w:val="24"/>
                <w:szCs w:val="24"/>
              </w:rPr>
              <w:t>3.允许符合条件的高新技术企业，在不超过等值500万美元额度内自主借用外债；</w:t>
            </w:r>
          </w:p>
          <w:p>
            <w:pPr>
              <w:widowControl w:val="0"/>
              <w:snapToGrid w:val="0"/>
              <w:spacing w:line="240" w:lineRule="auto"/>
              <w:rPr>
                <w:rFonts w:ascii="方正仿宋_GBK"/>
                <w:kern w:val="0"/>
                <w:sz w:val="24"/>
                <w:szCs w:val="24"/>
              </w:rPr>
            </w:pPr>
            <w:r>
              <w:rPr>
                <w:rFonts w:hint="eastAsia" w:ascii="方正仿宋_GBK"/>
                <w:kern w:val="0"/>
                <w:sz w:val="24"/>
                <w:szCs w:val="24"/>
              </w:rPr>
              <w:t xml:space="preserve">   </w:t>
            </w:r>
            <w:r>
              <w:rPr>
                <w:rFonts w:ascii="方正仿宋_GBK"/>
                <w:kern w:val="0"/>
                <w:sz w:val="24"/>
                <w:szCs w:val="24"/>
              </w:rPr>
              <w:t>4.辖内银行可在风险可控、审慎管理的原则下开展信贷资产对外转让试点；</w:t>
            </w:r>
          </w:p>
          <w:p>
            <w:pPr>
              <w:widowControl w:val="0"/>
              <w:snapToGrid w:val="0"/>
              <w:spacing w:line="240" w:lineRule="auto"/>
              <w:rPr>
                <w:rFonts w:ascii="方正仿宋_GBK"/>
                <w:kern w:val="0"/>
                <w:sz w:val="24"/>
                <w:szCs w:val="24"/>
              </w:rPr>
            </w:pPr>
            <w:r>
              <w:rPr>
                <w:rFonts w:hint="eastAsia" w:ascii="方正仿宋_GBK"/>
                <w:kern w:val="0"/>
                <w:sz w:val="24"/>
                <w:szCs w:val="24"/>
              </w:rPr>
              <w:t xml:space="preserve">   </w:t>
            </w:r>
            <w:r>
              <w:rPr>
                <w:rFonts w:ascii="方正仿宋_GBK"/>
                <w:kern w:val="0"/>
                <w:sz w:val="24"/>
                <w:szCs w:val="24"/>
              </w:rPr>
              <w:t>5.支持资本项目收入支付便利化政策实施范围扩大至全辖；</w:t>
            </w:r>
          </w:p>
          <w:p>
            <w:pPr>
              <w:widowControl w:val="0"/>
              <w:snapToGrid w:val="0"/>
              <w:spacing w:line="240" w:lineRule="auto"/>
              <w:rPr>
                <w:rFonts w:ascii="方正仿宋_GBK"/>
                <w:kern w:val="0"/>
                <w:sz w:val="24"/>
                <w:szCs w:val="24"/>
              </w:rPr>
            </w:pPr>
            <w:r>
              <w:rPr>
                <w:rFonts w:hint="eastAsia" w:ascii="方正仿宋_GBK"/>
                <w:kern w:val="0"/>
                <w:sz w:val="24"/>
                <w:szCs w:val="24"/>
              </w:rPr>
              <w:t xml:space="preserve">   </w:t>
            </w:r>
            <w:r>
              <w:rPr>
                <w:rFonts w:ascii="方正仿宋_GBK"/>
                <w:kern w:val="0"/>
                <w:sz w:val="24"/>
                <w:szCs w:val="24"/>
              </w:rPr>
              <w:t>6.开展合格境内有限合伙人（QDLP）试点；</w:t>
            </w:r>
          </w:p>
          <w:p>
            <w:pPr>
              <w:widowControl w:val="0"/>
              <w:snapToGrid w:val="0"/>
              <w:spacing w:line="240" w:lineRule="auto"/>
              <w:rPr>
                <w:rFonts w:eastAsia="宋体"/>
                <w:kern w:val="0"/>
                <w:sz w:val="24"/>
                <w:szCs w:val="24"/>
              </w:rPr>
            </w:pPr>
            <w:r>
              <w:rPr>
                <w:rFonts w:ascii="方正仿宋_GBK"/>
                <w:kern w:val="0"/>
                <w:sz w:val="24"/>
                <w:szCs w:val="24"/>
              </w:rPr>
              <w:t>7.探索开展重庆与新加坡基金互认外汇管理试点。</w:t>
            </w:r>
          </w:p>
        </w:tc>
      </w:tr>
    </w:tbl>
    <w:p>
      <w:pPr>
        <w:widowControl w:val="0"/>
        <w:snapToGrid w:val="0"/>
        <w:spacing w:before="0" w:after="0" w:line="276" w:lineRule="auto"/>
        <w:jc w:val="both"/>
        <w:rPr>
          <w:rFonts w:hint="default" w:ascii="方正黑体_GBK" w:hAnsi="Calibri" w:eastAsia="方正黑体_GBK" w:cs="宋体"/>
          <w:kern w:val="0"/>
          <w:szCs w:val="32"/>
          <w:lang w:val="en-US" w:eastAsia="zh-CN"/>
        </w:rPr>
      </w:pPr>
      <w:r>
        <w:rPr>
          <w:rFonts w:hint="eastAsia" w:ascii="方正黑体_GBK" w:hAnsi="Calibri" w:eastAsia="方正黑体_GBK" w:cs="宋体"/>
          <w:kern w:val="0"/>
          <w:szCs w:val="32"/>
          <w:lang w:val="en-US" w:eastAsia="zh-CN"/>
        </w:rPr>
        <w:t xml:space="preserve">    </w:t>
      </w:r>
    </w:p>
    <w:p>
      <w:pPr>
        <w:widowControl w:val="0"/>
        <w:snapToGrid w:val="0"/>
        <w:spacing w:before="0" w:after="0" w:line="276" w:lineRule="auto"/>
        <w:jc w:val="center"/>
        <w:rPr>
          <w:rFonts w:ascii="方正黑体_GBK" w:hAnsi="Calibri" w:eastAsia="方正黑体_GBK" w:cs="宋体"/>
          <w:kern w:val="0"/>
          <w:szCs w:val="32"/>
        </w:rPr>
      </w:pPr>
      <w:r>
        <w:rPr>
          <w:rFonts w:hint="eastAsia" w:ascii="方正黑体_GBK" w:hAnsi="Calibri" w:eastAsia="方正黑体_GBK" w:cs="宋体"/>
          <w:kern w:val="0"/>
          <w:szCs w:val="32"/>
        </w:rPr>
        <w:t>第二节</w:t>
      </w:r>
      <w:r>
        <w:rPr>
          <w:rFonts w:hint="eastAsia" w:ascii="方正黑体_GBK" w:hAnsi="Calibri" w:eastAsia="方正黑体_GBK" w:cs="宋体"/>
          <w:kern w:val="0"/>
          <w:sz w:val="32"/>
          <w:szCs w:val="32"/>
          <w:lang w:val="en-US" w:eastAsia="zh-CN"/>
        </w:rPr>
        <w:t xml:space="preserve">  </w:t>
      </w:r>
      <w:r>
        <w:rPr>
          <w:rFonts w:hint="eastAsia" w:ascii="方正黑体_GBK" w:hAnsi="Calibri" w:eastAsia="方正黑体_GBK" w:cs="宋体"/>
          <w:kern w:val="0"/>
          <w:szCs w:val="32"/>
        </w:rPr>
        <w:t>强化区域性集聚功能</w:t>
      </w:r>
    </w:p>
    <w:p>
      <w:pPr>
        <w:widowControl w:val="0"/>
        <w:snapToGrid w:val="0"/>
        <w:spacing w:line="276" w:lineRule="auto"/>
        <w:ind w:firstLine="640" w:firstLineChars="200"/>
        <w:rPr>
          <w:rFonts w:ascii="方正仿宋_GBK" w:hAnsi="Calibri" w:cs="宋体"/>
          <w:kern w:val="0"/>
          <w:szCs w:val="32"/>
        </w:rPr>
      </w:pP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发挥金融支撑作用，加大对永川区建设百万级规模区域性中心城市的资金支持，助推永川区打造成渝地区双城经济圈重要支点。发挥永川区机构集中、资金融通、业务创新和信息集中的枢纽作用，努力使永川区成为区域性的资金聚集中心，辐射成渝地区双城经济圈。以建立和完善金融业态体系、金融功能体系、金融服务体系为主线，实现产业链、资金链和创新链的深度融合，引领成渝地区中部区域发展。突出永川区金融特色，开展产业链金融、绿色金融、文旅金融和普惠金融创新示范，探索为沿江经济、内陆开放经济服务的金融模式。到2025年末，把永川区建设成为辐射</w:t>
      </w:r>
      <w:r>
        <w:rPr>
          <w:rFonts w:hint="eastAsia" w:ascii="方正仿宋_GBK" w:hAnsi="Calibri" w:cs="宋体"/>
          <w:kern w:val="0"/>
          <w:szCs w:val="32"/>
        </w:rPr>
        <w:t>主城都市区</w:t>
      </w:r>
      <w:r>
        <w:rPr>
          <w:rFonts w:ascii="方正仿宋_GBK" w:hAnsi="Calibri" w:cs="宋体"/>
          <w:kern w:val="0"/>
          <w:szCs w:val="32"/>
        </w:rPr>
        <w:t>乃至成渝地区的金融开放高地，助推成渝地区双城经济圈</w:t>
      </w:r>
      <w:r>
        <w:rPr>
          <w:rFonts w:hint="eastAsia" w:ascii="方正仿宋_GBK" w:hAnsi="Calibri" w:cs="宋体"/>
          <w:kern w:val="0"/>
          <w:szCs w:val="32"/>
        </w:rPr>
        <w:t>“中部崛起”</w:t>
      </w:r>
      <w:r>
        <w:rPr>
          <w:rFonts w:ascii="方正仿宋_GBK" w:hAnsi="Calibri" w:cs="宋体"/>
          <w:kern w:val="0"/>
          <w:szCs w:val="32"/>
        </w:rPr>
        <w:t>。</w:t>
      </w:r>
    </w:p>
    <w:p>
      <w:pPr>
        <w:widowControl w:val="0"/>
        <w:snapToGrid w:val="0"/>
        <w:spacing w:line="276" w:lineRule="auto"/>
        <w:ind w:firstLine="640" w:firstLineChars="200"/>
        <w:rPr>
          <w:rFonts w:hint="eastAsia" w:ascii="方正仿宋_GBK" w:hAnsi="Calibri" w:cs="宋体"/>
          <w:kern w:val="0"/>
          <w:szCs w:val="32"/>
        </w:rPr>
      </w:pPr>
    </w:p>
    <w:p>
      <w:pPr>
        <w:widowControl w:val="0"/>
        <w:snapToGrid w:val="0"/>
        <w:spacing w:before="0" w:after="0" w:line="276" w:lineRule="auto"/>
        <w:jc w:val="center"/>
        <w:rPr>
          <w:rFonts w:ascii="方正黑体_GBK" w:hAnsi="Calibri" w:eastAsia="方正黑体_GBK" w:cs="宋体"/>
          <w:kern w:val="0"/>
          <w:szCs w:val="32"/>
        </w:rPr>
      </w:pPr>
      <w:r>
        <w:rPr>
          <w:rFonts w:hint="eastAsia" w:ascii="方正黑体_GBK" w:hAnsi="Calibri" w:eastAsia="方正黑体_GBK" w:cs="宋体"/>
          <w:kern w:val="0"/>
          <w:szCs w:val="32"/>
        </w:rPr>
        <w:t>第三节</w:t>
      </w:r>
      <w:r>
        <w:rPr>
          <w:rFonts w:hint="eastAsia" w:ascii="方正黑体_GBK" w:hAnsi="Calibri" w:eastAsia="方正黑体_GBK" w:cs="宋体"/>
          <w:kern w:val="0"/>
          <w:sz w:val="32"/>
          <w:szCs w:val="32"/>
          <w:lang w:eastAsia="zh-CN"/>
        </w:rPr>
        <w:t xml:space="preserve"> </w:t>
      </w:r>
      <w:r>
        <w:rPr>
          <w:rFonts w:hint="eastAsia" w:ascii="方正黑体_GBK" w:hAnsi="Calibri" w:eastAsia="方正黑体_GBK" w:cs="宋体"/>
          <w:kern w:val="0"/>
          <w:sz w:val="32"/>
          <w:szCs w:val="32"/>
          <w:lang w:val="en-US" w:eastAsia="zh-CN"/>
        </w:rPr>
        <w:t xml:space="preserve"> </w:t>
      </w:r>
      <w:r>
        <w:rPr>
          <w:rFonts w:hint="eastAsia" w:ascii="方正黑体_GBK" w:hAnsi="Calibri" w:eastAsia="方正黑体_GBK" w:cs="宋体"/>
          <w:kern w:val="0"/>
          <w:szCs w:val="32"/>
        </w:rPr>
        <w:t>加快跨区域融合发展</w:t>
      </w:r>
    </w:p>
    <w:p>
      <w:pPr>
        <w:widowControl w:val="0"/>
        <w:snapToGrid w:val="0"/>
        <w:spacing w:line="276" w:lineRule="auto"/>
        <w:ind w:firstLine="640" w:firstLineChars="200"/>
        <w:rPr>
          <w:rFonts w:ascii="方正仿宋_GBK" w:hAnsi="Calibri" w:cs="宋体"/>
          <w:kern w:val="0"/>
          <w:szCs w:val="32"/>
        </w:rPr>
      </w:pP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围绕</w:t>
      </w:r>
      <w:r>
        <w:rPr>
          <w:rFonts w:hint="eastAsia" w:ascii="方正仿宋_GBK" w:hAnsi="Calibri" w:cs="宋体"/>
          <w:kern w:val="0"/>
          <w:szCs w:val="32"/>
        </w:rPr>
        <w:t>成渝地区双城经济圈中部地区</w:t>
      </w:r>
      <w:r>
        <w:rPr>
          <w:rFonts w:ascii="方正仿宋_GBK" w:hAnsi="Calibri" w:cs="宋体"/>
          <w:kern w:val="0"/>
          <w:szCs w:val="32"/>
        </w:rPr>
        <w:t>融合发展，探索创新金融业跨行政区组团发展的体制机制，推动泸永江、永荣大等组团共同建设融合发展示范区。将跨区域金融合作纳入泸永江融合发展示范区建设，明确金融合作常态化协调机制，促进金融领域重大政策、重大项目、重大改革的合作；推动金融服务永荣大组团一体化发展，将金融业作为深化服务贸易创新发展试点的重要抓手，助推永荣大组团打造全市重要的现代服务业集聚区。</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拓展区域金融市场合作，研究建立机构互设、产品互认、资金互通、市场互联的合作机制。探索设立区域合作产业投资基金等机构，服务区域重大项目和基础设施建设。建立区域定价、交易和结算平台，促进金融资源协同配置。建立跨区域金融共享机制，加大金融管理与市场运行信息、社会公共信用信息、行业协会自律信息的共享，为区域金融市场合作提供信息保障，助推金融资本、人才等资源跨区域流动。建立跨区域长效金融监管协作机制，力争实现监管互认，加强对非法集资、互联网金融等跨区域风险的监管合作和协调，统一监管标准、方法和手段，协调跨区域案件处理。</w:t>
      </w:r>
    </w:p>
    <w:p>
      <w:pPr>
        <w:widowControl w:val="0"/>
        <w:snapToGrid w:val="0"/>
        <w:spacing w:line="276" w:lineRule="auto"/>
        <w:ind w:firstLine="640" w:firstLineChars="200"/>
        <w:rPr>
          <w:rFonts w:ascii="方正仿宋_GBK" w:hAnsi="Calibri" w:cs="宋体"/>
          <w:kern w:val="0"/>
          <w:szCs w:val="32"/>
        </w:rPr>
      </w:pPr>
    </w:p>
    <w:p>
      <w:pPr>
        <w:widowControl w:val="0"/>
        <w:snapToGrid w:val="0"/>
        <w:spacing w:before="0" w:after="0" w:line="276" w:lineRule="auto"/>
        <w:jc w:val="center"/>
        <w:rPr>
          <w:rFonts w:hint="eastAsia" w:ascii="方正黑体_GBK" w:hAnsi="Calibri" w:eastAsia="方正黑体_GBK" w:cs="宋体"/>
          <w:kern w:val="0"/>
          <w:sz w:val="32"/>
          <w:szCs w:val="32"/>
        </w:rPr>
      </w:pPr>
      <w:r>
        <w:rPr>
          <w:rFonts w:hint="eastAsia" w:ascii="方正黑体_GBK" w:hAnsi="Calibri" w:eastAsia="方正黑体_GBK" w:cs="宋体"/>
          <w:kern w:val="0"/>
          <w:sz w:val="32"/>
          <w:szCs w:val="32"/>
        </w:rPr>
        <w:t>第五章</w:t>
      </w:r>
      <w:r>
        <w:rPr>
          <w:rFonts w:hint="eastAsia" w:ascii="方正黑体_GBK" w:hAnsi="Calibri" w:eastAsia="方正黑体_GBK" w:cs="宋体"/>
          <w:kern w:val="0"/>
          <w:sz w:val="32"/>
          <w:szCs w:val="32"/>
          <w:lang w:val="en-US" w:eastAsia="zh-CN"/>
        </w:rPr>
        <w:t xml:space="preserve">  </w:t>
      </w:r>
      <w:r>
        <w:rPr>
          <w:rFonts w:hint="eastAsia" w:ascii="方正黑体_GBK" w:hAnsi="Calibri" w:eastAsia="方正黑体_GBK" w:cs="宋体"/>
          <w:kern w:val="0"/>
          <w:sz w:val="32"/>
          <w:szCs w:val="32"/>
        </w:rPr>
        <w:t>争创“两大先行试点”</w:t>
      </w:r>
    </w:p>
    <w:p>
      <w:pPr>
        <w:widowControl w:val="0"/>
        <w:snapToGrid w:val="0"/>
        <w:spacing w:line="276" w:lineRule="auto"/>
        <w:ind w:firstLine="640" w:firstLineChars="200"/>
        <w:rPr>
          <w:rFonts w:ascii="方正仿宋_GBK" w:hAnsi="Calibri" w:cs="宋体"/>
          <w:kern w:val="0"/>
          <w:szCs w:val="32"/>
        </w:rPr>
      </w:pP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以构建现代产业体系，建设成渝地区重要的现代产业基地为立足点，推动金融与实体产业融合发展，开展产融合作先行试点，力争入选国家级试点城市；以重庆成为全国首批开展金融科技应用试点城市、成立重庆国家金融科技认证中心为契机，推动金融与科技融合发展，开展金融科技先行试点，力争入选市级试点城市。</w:t>
      </w:r>
    </w:p>
    <w:p>
      <w:pPr>
        <w:widowControl w:val="0"/>
        <w:snapToGrid w:val="0"/>
        <w:spacing w:line="276" w:lineRule="auto"/>
        <w:ind w:firstLine="640" w:firstLineChars="200"/>
        <w:rPr>
          <w:rFonts w:hint="eastAsia" w:ascii="方正仿宋_GBK" w:hAnsi="Calibri" w:cs="宋体"/>
          <w:kern w:val="0"/>
          <w:szCs w:val="32"/>
        </w:rPr>
      </w:pPr>
    </w:p>
    <w:p>
      <w:pPr>
        <w:widowControl w:val="0"/>
        <w:snapToGrid w:val="0"/>
        <w:spacing w:before="0" w:after="0" w:line="276" w:lineRule="auto"/>
        <w:jc w:val="center"/>
        <w:rPr>
          <w:rFonts w:ascii="方正黑体_GBK" w:hAnsi="Calibri" w:eastAsia="方正黑体_GBK" w:cs="宋体"/>
          <w:kern w:val="0"/>
          <w:szCs w:val="32"/>
        </w:rPr>
      </w:pPr>
      <w:r>
        <w:rPr>
          <w:rFonts w:hint="eastAsia" w:ascii="方正黑体_GBK" w:hAnsi="Calibri" w:eastAsia="方正黑体_GBK" w:cs="宋体"/>
          <w:kern w:val="0"/>
          <w:szCs w:val="32"/>
        </w:rPr>
        <w:t>第一节</w:t>
      </w:r>
      <w:r>
        <w:rPr>
          <w:rFonts w:hint="eastAsia" w:ascii="方正黑体_GBK" w:hAnsi="Calibri" w:eastAsia="方正黑体_GBK" w:cs="宋体"/>
          <w:kern w:val="0"/>
          <w:sz w:val="32"/>
          <w:szCs w:val="32"/>
          <w:lang w:val="en-US" w:eastAsia="zh-CN"/>
        </w:rPr>
        <w:t xml:space="preserve">  </w:t>
      </w:r>
      <w:r>
        <w:rPr>
          <w:rFonts w:hint="eastAsia" w:ascii="方正黑体_GBK" w:hAnsi="Calibri" w:eastAsia="方正黑体_GBK" w:cs="宋体"/>
          <w:kern w:val="0"/>
          <w:szCs w:val="32"/>
        </w:rPr>
        <w:t>开展产融合作先行试点</w:t>
      </w:r>
    </w:p>
    <w:p>
      <w:pPr>
        <w:widowControl w:val="0"/>
        <w:snapToGrid w:val="0"/>
        <w:spacing w:line="276" w:lineRule="auto"/>
        <w:ind w:firstLine="640" w:firstLineChars="200"/>
        <w:rPr>
          <w:rFonts w:ascii="方正仿宋_GBK" w:hAnsi="Calibri" w:cs="宋体"/>
          <w:kern w:val="0"/>
          <w:szCs w:val="32"/>
        </w:rPr>
      </w:pP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主</w:t>
      </w:r>
      <w:r>
        <w:rPr>
          <w:rFonts w:hint="eastAsia" w:ascii="方正仿宋_GBK" w:hAnsi="Calibri" w:cs="宋体"/>
          <w:kern w:val="0"/>
          <w:szCs w:val="32"/>
        </w:rPr>
        <w:t>动适应“双循环”新发展格局，以供给侧结构性改革为主线，为实体经济发展提供有效金融供给，重点加大“产业集群”扶持力度、提升“产、城、景”融资水平，推动“保险</w:t>
      </w:r>
      <w:r>
        <w:rPr>
          <w:rFonts w:ascii="方正仿宋_GBK" w:hAnsi="Calibri" w:cs="宋体"/>
          <w:kern w:val="0"/>
          <w:szCs w:val="32"/>
        </w:rPr>
        <w:t>+</w:t>
      </w:r>
      <w:r>
        <w:rPr>
          <w:rFonts w:hint="eastAsia" w:ascii="方正仿宋_GBK" w:hAnsi="Calibri" w:cs="宋体"/>
          <w:kern w:val="0"/>
          <w:szCs w:val="32"/>
        </w:rPr>
        <w:t>产业”纵深发展，提升金融服务实体经济的效能</w:t>
      </w:r>
      <w:r>
        <w:rPr>
          <w:rFonts w:ascii="方正仿宋_GBK" w:hAnsi="Calibri" w:cs="宋体"/>
          <w:kern w:val="0"/>
          <w:szCs w:val="32"/>
        </w:rPr>
        <w:t>。</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一、加大“产业集群”金融扶持</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扶持培育行业龙头企业，加强政银企联动，综合运用财政贴息等政策，对符合条件的、有金融机构贷款的重点企业、重点培育企业给予贷款贴息补助。支持企业债券市场融资，对成功发行企业债券、公司债券、中期票据、短期融资券、中小企业私募债等融资工具并用于永川区内项目的按照融资金额进行奖励。加大民营企业信贷投放、转贷应急周转、降低贷款利率、困难行业企业贷款贴息、担保费减免等扶持力度。到2025年末，区内银行业金融机构民营企业贷款余额达</w:t>
      </w:r>
      <w:r>
        <w:rPr>
          <w:rFonts w:hint="eastAsia" w:ascii="方正仿宋_GBK" w:hAnsi="Calibri" w:cs="宋体"/>
          <w:kern w:val="0"/>
          <w:szCs w:val="32"/>
        </w:rPr>
        <w:t>280</w:t>
      </w:r>
      <w:r>
        <w:rPr>
          <w:rFonts w:ascii="方正仿宋_GBK" w:hAnsi="Calibri" w:cs="宋体"/>
          <w:kern w:val="0"/>
          <w:szCs w:val="32"/>
        </w:rPr>
        <w:t>亿元以上，贷款余额占比增至20%；小微企业贷款余额达</w:t>
      </w:r>
      <w:r>
        <w:rPr>
          <w:rFonts w:hint="eastAsia" w:ascii="方正仿宋_GBK" w:hAnsi="Calibri" w:cs="宋体"/>
          <w:kern w:val="0"/>
          <w:szCs w:val="32"/>
        </w:rPr>
        <w:t>280</w:t>
      </w:r>
      <w:r>
        <w:rPr>
          <w:rFonts w:ascii="方正仿宋_GBK" w:hAnsi="Calibri" w:cs="宋体"/>
          <w:kern w:val="0"/>
          <w:szCs w:val="32"/>
        </w:rPr>
        <w:t>亿元以上，贷款余额占比超20%，高于全市平均水平。</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鼓励企业上市融资，对在</w:t>
      </w:r>
      <w:r>
        <w:rPr>
          <w:rFonts w:hint="eastAsia" w:ascii="方正仿宋_GBK" w:hAnsi="Calibri" w:cs="宋体"/>
          <w:kern w:val="0"/>
          <w:szCs w:val="32"/>
        </w:rPr>
        <w:t>境内外上市、在“新三板”挂牌、完成股份制改造的企业给予相应奖励。加大科创板企业孵化及培育，</w:t>
      </w:r>
      <w:r>
        <w:rPr>
          <w:rFonts w:ascii="方正仿宋_GBK" w:hAnsi="Calibri" w:cs="宋体"/>
          <w:kern w:val="0"/>
          <w:szCs w:val="32"/>
        </w:rPr>
        <w:t>尽快实现境内外上</w:t>
      </w:r>
      <w:r>
        <w:rPr>
          <w:rFonts w:hint="eastAsia" w:ascii="方正仿宋_GBK" w:hAnsi="Calibri" w:cs="宋体"/>
          <w:kern w:val="0"/>
          <w:szCs w:val="32"/>
        </w:rPr>
        <w:t>市企业“零突破”。“十四五”时期，预期累计入库企业160家，实施企业股改115家，累计辅导备案企业30家。</w:t>
      </w:r>
      <w:r>
        <w:rPr>
          <w:rFonts w:ascii="方正仿宋_GBK" w:hAnsi="Calibri" w:cs="宋体"/>
          <w:kern w:val="0"/>
          <w:szCs w:val="32"/>
        </w:rPr>
        <w:t>到2025年末，</w:t>
      </w:r>
      <w:r>
        <w:rPr>
          <w:rFonts w:hint="eastAsia" w:ascii="方正仿宋_GBK" w:hAnsi="Calibri" w:cs="宋体"/>
          <w:kern w:val="0"/>
          <w:szCs w:val="32"/>
        </w:rPr>
        <w:t>力争</w:t>
      </w:r>
      <w:r>
        <w:rPr>
          <w:rFonts w:ascii="方正仿宋_GBK" w:hAnsi="Calibri" w:cs="宋体"/>
          <w:kern w:val="0"/>
          <w:szCs w:val="32"/>
        </w:rPr>
        <w:t>境内外上市企业</w:t>
      </w:r>
      <w:r>
        <w:rPr>
          <w:rFonts w:hint="eastAsia" w:ascii="方正仿宋_GBK" w:hAnsi="Calibri" w:cs="宋体"/>
          <w:kern w:val="0"/>
          <w:szCs w:val="32"/>
        </w:rPr>
        <w:t>7</w:t>
      </w:r>
      <w:r>
        <w:rPr>
          <w:rFonts w:ascii="方正仿宋_GBK" w:hAnsi="Calibri" w:cs="宋体"/>
          <w:kern w:val="0"/>
          <w:szCs w:val="32"/>
        </w:rPr>
        <w:t>家</w:t>
      </w:r>
      <w:r>
        <w:rPr>
          <w:rFonts w:hint="eastAsia" w:ascii="方正仿宋_GBK" w:hAnsi="Calibri" w:cs="宋体"/>
          <w:kern w:val="0"/>
          <w:szCs w:val="32"/>
        </w:rPr>
        <w:t>以上</w:t>
      </w:r>
      <w:r>
        <w:rPr>
          <w:rFonts w:ascii="方正仿宋_GBK" w:hAnsi="Calibri" w:cs="宋体"/>
          <w:kern w:val="0"/>
          <w:szCs w:val="32"/>
        </w:rPr>
        <w:t>，预期市值规模</w:t>
      </w:r>
      <w:r>
        <w:rPr>
          <w:rFonts w:hint="eastAsia" w:ascii="方正仿宋_GBK" w:hAnsi="Calibri" w:cs="宋体"/>
          <w:kern w:val="0"/>
          <w:szCs w:val="32"/>
        </w:rPr>
        <w:t>800</w:t>
      </w:r>
      <w:r>
        <w:rPr>
          <w:rFonts w:ascii="方正仿宋_GBK" w:hAnsi="Calibri" w:cs="宋体"/>
          <w:kern w:val="0"/>
          <w:szCs w:val="32"/>
        </w:rPr>
        <w:t>亿元以上；</w:t>
      </w:r>
      <w:r>
        <w:rPr>
          <w:rFonts w:hint="eastAsia" w:ascii="方正仿宋_GBK" w:hAnsi="Calibri" w:cs="宋体"/>
          <w:kern w:val="0"/>
          <w:szCs w:val="32"/>
        </w:rPr>
        <w:t>新三板挂牌企业35家以上，重庆OTC挂牌企业20家以上。</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鼓励各类创投基金面向机器人及智能装备、轨道交通、新能源及智能汽车、物联网、环保、页岩气装备制造等战略性新兴产业、高新技术产业和符合工业转型升级发展规划的产业进行股权投资，对符合条件的股权投资（PE）、风险投资（VC）等各类创投基金机构给予补助。支持企业流动资金贷款，对机器人及智能装备、轨道交通、汽车及零部件、城市矿产和纸业五大主导产业，对符合有关条件且发生流动资金贷款的企业给予贴息。</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健全政策性融资担保机制，形成包括财政出资和社会资金投入在内的多层次担保体系，加强创业风险投资项目贴息或担保支持，吸引高层次人才开展新兴产业创新创业。</w:t>
      </w:r>
    </w:p>
    <w:tbl>
      <w:tblPr>
        <w:tblStyle w:val="7"/>
        <w:tblW w:w="0" w:type="auto"/>
        <w:jc w:val="center"/>
        <w:tblLayout w:type="fixed"/>
        <w:tblCellMar>
          <w:top w:w="57" w:type="dxa"/>
          <w:left w:w="57" w:type="dxa"/>
          <w:bottom w:w="57" w:type="dxa"/>
          <w:right w:w="108" w:type="dxa"/>
        </w:tblCellMar>
      </w:tblPr>
      <w:tblGrid>
        <w:gridCol w:w="5331"/>
        <w:gridCol w:w="3792"/>
      </w:tblGrid>
      <w:tr>
        <w:tblPrEx>
          <w:tblCellMar>
            <w:top w:w="57" w:type="dxa"/>
            <w:left w:w="57" w:type="dxa"/>
            <w:bottom w:w="57" w:type="dxa"/>
            <w:right w:w="108" w:type="dxa"/>
          </w:tblCellMar>
        </w:tblPrEx>
        <w:trPr>
          <w:trHeight w:val="0" w:hRule="atLeast"/>
          <w:jc w:val="center"/>
        </w:trPr>
        <w:tc>
          <w:tcPr>
            <w:tcW w:w="9123" w:type="dxa"/>
            <w:gridSpan w:val="2"/>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方正黑体_GBK" w:hAnsi="Calibri" w:eastAsia="方正黑体_GBK" w:cs="宋体"/>
                <w:kern w:val="0"/>
                <w:sz w:val="24"/>
                <w:szCs w:val="24"/>
              </w:rPr>
            </w:pPr>
            <w:r>
              <w:rPr>
                <w:rFonts w:hint="eastAsia" w:ascii="方正黑体_GBK" w:hAnsi="Calibri" w:eastAsia="方正黑体_GBK" w:cs="宋体"/>
                <w:kern w:val="0"/>
                <w:sz w:val="24"/>
                <w:szCs w:val="24"/>
              </w:rPr>
              <w:t>专栏5：“十四五”时期永川区金融支持“产业集群”发展目标</w:t>
            </w:r>
          </w:p>
        </w:tc>
      </w:tr>
      <w:tr>
        <w:tblPrEx>
          <w:tblCellMar>
            <w:top w:w="57" w:type="dxa"/>
            <w:left w:w="57" w:type="dxa"/>
            <w:bottom w:w="57" w:type="dxa"/>
            <w:right w:w="108" w:type="dxa"/>
          </w:tblCellMar>
        </w:tblPrEx>
        <w:trPr>
          <w:trHeight w:val="0" w:hRule="atLeast"/>
          <w:jc w:val="center"/>
        </w:trPr>
        <w:tc>
          <w:tcPr>
            <w:tcW w:w="533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b/>
                <w:kern w:val="0"/>
                <w:sz w:val="24"/>
                <w:szCs w:val="24"/>
              </w:rPr>
            </w:pPr>
            <w:r>
              <w:rPr>
                <w:rFonts w:hint="eastAsia" w:ascii="方正仿宋_GBK" w:hAnsi="Calibri" w:cs="宋体"/>
                <w:b/>
                <w:kern w:val="0"/>
                <w:sz w:val="24"/>
                <w:szCs w:val="24"/>
              </w:rPr>
              <w:t>产业集群</w:t>
            </w:r>
          </w:p>
        </w:tc>
        <w:tc>
          <w:tcPr>
            <w:tcW w:w="3792"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b/>
                <w:kern w:val="0"/>
                <w:sz w:val="24"/>
                <w:szCs w:val="24"/>
              </w:rPr>
            </w:pPr>
            <w:r>
              <w:rPr>
                <w:rFonts w:ascii="方正仿宋_GBK" w:hAnsi="Calibri" w:cs="宋体"/>
                <w:b/>
                <w:kern w:val="0"/>
                <w:sz w:val="24"/>
                <w:szCs w:val="24"/>
              </w:rPr>
              <w:t>产值目标（亿）</w:t>
            </w:r>
          </w:p>
        </w:tc>
      </w:tr>
      <w:tr>
        <w:tblPrEx>
          <w:tblCellMar>
            <w:top w:w="57" w:type="dxa"/>
            <w:left w:w="57" w:type="dxa"/>
            <w:bottom w:w="57" w:type="dxa"/>
            <w:right w:w="108" w:type="dxa"/>
          </w:tblCellMar>
        </w:tblPrEx>
        <w:trPr>
          <w:trHeight w:val="0" w:hRule="atLeast"/>
          <w:jc w:val="center"/>
        </w:trPr>
        <w:tc>
          <w:tcPr>
            <w:tcW w:w="533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hint="eastAsia" w:ascii="方正仿宋_GBK" w:hAnsi="Calibri" w:cs="宋体"/>
                <w:kern w:val="0"/>
                <w:sz w:val="24"/>
                <w:szCs w:val="24"/>
              </w:rPr>
              <w:t>汽摩及零部件产业集群</w:t>
            </w:r>
          </w:p>
        </w:tc>
        <w:tc>
          <w:tcPr>
            <w:tcW w:w="3792"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1000</w:t>
            </w:r>
          </w:p>
        </w:tc>
      </w:tr>
      <w:tr>
        <w:tblPrEx>
          <w:tblCellMar>
            <w:top w:w="57" w:type="dxa"/>
            <w:left w:w="57" w:type="dxa"/>
            <w:bottom w:w="57" w:type="dxa"/>
            <w:right w:w="108" w:type="dxa"/>
          </w:tblCellMar>
        </w:tblPrEx>
        <w:trPr>
          <w:trHeight w:val="0" w:hRule="atLeast"/>
          <w:jc w:val="center"/>
        </w:trPr>
        <w:tc>
          <w:tcPr>
            <w:tcW w:w="533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hint="eastAsia" w:ascii="方正仿宋_GBK" w:hAnsi="Calibri" w:cs="宋体"/>
                <w:kern w:val="0"/>
                <w:sz w:val="24"/>
                <w:szCs w:val="24"/>
              </w:rPr>
              <w:t>智能装备产业集群</w:t>
            </w:r>
          </w:p>
        </w:tc>
        <w:tc>
          <w:tcPr>
            <w:tcW w:w="3792"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hint="eastAsia" w:ascii="方正仿宋_GBK" w:hAnsi="Calibri" w:cs="宋体"/>
                <w:kern w:val="0"/>
                <w:sz w:val="24"/>
                <w:szCs w:val="24"/>
              </w:rPr>
              <w:t>300</w:t>
            </w:r>
          </w:p>
        </w:tc>
      </w:tr>
      <w:tr>
        <w:tblPrEx>
          <w:tblCellMar>
            <w:top w:w="57" w:type="dxa"/>
            <w:left w:w="57" w:type="dxa"/>
            <w:bottom w:w="57" w:type="dxa"/>
            <w:right w:w="108" w:type="dxa"/>
          </w:tblCellMar>
        </w:tblPrEx>
        <w:trPr>
          <w:trHeight w:val="0" w:hRule="atLeast"/>
          <w:jc w:val="center"/>
        </w:trPr>
        <w:tc>
          <w:tcPr>
            <w:tcW w:w="533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hint="eastAsia" w:ascii="方正仿宋_GBK" w:hAnsi="Calibri" w:cs="宋体"/>
                <w:kern w:val="0"/>
                <w:sz w:val="24"/>
                <w:szCs w:val="24"/>
              </w:rPr>
              <w:t>特色消费品产业集群</w:t>
            </w:r>
          </w:p>
        </w:tc>
        <w:tc>
          <w:tcPr>
            <w:tcW w:w="3792"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hint="eastAsia" w:ascii="方正仿宋_GBK" w:hAnsi="Calibri" w:cs="宋体"/>
                <w:kern w:val="0"/>
                <w:sz w:val="24"/>
                <w:szCs w:val="24"/>
              </w:rPr>
              <w:t>5</w:t>
            </w:r>
            <w:r>
              <w:rPr>
                <w:rFonts w:ascii="方正仿宋_GBK" w:hAnsi="Calibri" w:cs="宋体"/>
                <w:kern w:val="0"/>
                <w:sz w:val="24"/>
                <w:szCs w:val="24"/>
              </w:rPr>
              <w:t>00</w:t>
            </w:r>
          </w:p>
        </w:tc>
      </w:tr>
      <w:tr>
        <w:tblPrEx>
          <w:tblCellMar>
            <w:top w:w="57" w:type="dxa"/>
            <w:left w:w="57" w:type="dxa"/>
            <w:bottom w:w="57" w:type="dxa"/>
            <w:right w:w="108" w:type="dxa"/>
          </w:tblCellMar>
        </w:tblPrEx>
        <w:trPr>
          <w:trHeight w:val="0" w:hRule="atLeast"/>
          <w:jc w:val="center"/>
        </w:trPr>
        <w:tc>
          <w:tcPr>
            <w:tcW w:w="533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hint="eastAsia" w:ascii="方正仿宋_GBK" w:hAnsi="Calibri" w:cs="宋体"/>
                <w:kern w:val="0"/>
                <w:sz w:val="24"/>
                <w:szCs w:val="24"/>
              </w:rPr>
              <w:t>电子信息产业集群</w:t>
            </w:r>
          </w:p>
        </w:tc>
        <w:tc>
          <w:tcPr>
            <w:tcW w:w="3792"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hint="eastAsia" w:ascii="方正仿宋_GBK" w:hAnsi="Calibri" w:cs="宋体"/>
                <w:kern w:val="0"/>
                <w:sz w:val="24"/>
                <w:szCs w:val="24"/>
              </w:rPr>
              <w:t>3</w:t>
            </w:r>
            <w:r>
              <w:rPr>
                <w:rFonts w:ascii="方正仿宋_GBK" w:hAnsi="Calibri" w:cs="宋体"/>
                <w:kern w:val="0"/>
                <w:sz w:val="24"/>
                <w:szCs w:val="24"/>
              </w:rPr>
              <w:t>00</w:t>
            </w:r>
          </w:p>
        </w:tc>
      </w:tr>
      <w:tr>
        <w:tblPrEx>
          <w:tblCellMar>
            <w:top w:w="57" w:type="dxa"/>
            <w:left w:w="57" w:type="dxa"/>
            <w:bottom w:w="57" w:type="dxa"/>
            <w:right w:w="108" w:type="dxa"/>
          </w:tblCellMar>
        </w:tblPrEx>
        <w:trPr>
          <w:trHeight w:val="0" w:hRule="atLeast"/>
          <w:jc w:val="center"/>
        </w:trPr>
        <w:tc>
          <w:tcPr>
            <w:tcW w:w="533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hint="eastAsia" w:ascii="方正仿宋_GBK" w:hAnsi="Calibri" w:cs="宋体"/>
                <w:kern w:val="0"/>
                <w:sz w:val="24"/>
                <w:szCs w:val="24"/>
              </w:rPr>
              <w:t>先进材料产业集群</w:t>
            </w:r>
          </w:p>
        </w:tc>
        <w:tc>
          <w:tcPr>
            <w:tcW w:w="3792"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hint="eastAsia" w:ascii="方正仿宋_GBK" w:hAnsi="Calibri" w:cs="宋体"/>
                <w:kern w:val="0"/>
                <w:sz w:val="24"/>
                <w:szCs w:val="24"/>
              </w:rPr>
              <w:t>4</w:t>
            </w:r>
            <w:r>
              <w:rPr>
                <w:rFonts w:ascii="方正仿宋_GBK" w:hAnsi="Calibri" w:cs="宋体"/>
                <w:kern w:val="0"/>
                <w:sz w:val="24"/>
                <w:szCs w:val="24"/>
              </w:rPr>
              <w:t>00</w:t>
            </w:r>
          </w:p>
        </w:tc>
      </w:tr>
      <w:tr>
        <w:tblPrEx>
          <w:tblCellMar>
            <w:top w:w="57" w:type="dxa"/>
            <w:left w:w="57" w:type="dxa"/>
            <w:bottom w:w="57" w:type="dxa"/>
            <w:right w:w="108" w:type="dxa"/>
          </w:tblCellMar>
        </w:tblPrEx>
        <w:trPr>
          <w:trHeight w:val="0" w:hRule="atLeast"/>
          <w:jc w:val="center"/>
        </w:trPr>
        <w:tc>
          <w:tcPr>
            <w:tcW w:w="533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hint="eastAsia" w:ascii="方正仿宋_GBK" w:hAnsi="Calibri" w:cs="宋体"/>
                <w:kern w:val="0"/>
                <w:sz w:val="24"/>
                <w:szCs w:val="24"/>
              </w:rPr>
              <w:t>大健康产业集群</w:t>
            </w:r>
          </w:p>
        </w:tc>
        <w:tc>
          <w:tcPr>
            <w:tcW w:w="3792"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100</w:t>
            </w:r>
          </w:p>
        </w:tc>
      </w:tr>
    </w:tbl>
    <w:p>
      <w:pPr>
        <w:widowControl w:val="0"/>
        <w:snapToGrid w:val="0"/>
        <w:spacing w:before="0"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二、提高“产、城、景”融资水平</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加</w:t>
      </w:r>
      <w:r>
        <w:rPr>
          <w:rFonts w:hint="eastAsia" w:ascii="方正仿宋_GBK" w:hAnsi="Calibri" w:cs="宋体"/>
          <w:kern w:val="0"/>
          <w:szCs w:val="32"/>
        </w:rPr>
        <w:t>强“产”的培育，拓宽产融合作融资渠道，助推建设大型现代产业基地。结合企业融资需求与企业成长类型，依托南翼</w:t>
      </w:r>
      <w:r>
        <w:rPr>
          <w:rFonts w:ascii="方正仿宋_GBK" w:hAnsi="Calibri" w:cs="宋体"/>
          <w:kern w:val="0"/>
          <w:szCs w:val="32"/>
        </w:rPr>
        <w:t>ž</w:t>
      </w:r>
      <w:r>
        <w:rPr>
          <w:rFonts w:hint="eastAsia" w:ascii="方正仿宋_GBK" w:hAnsi="Calibri" w:cs="宋体"/>
          <w:kern w:val="0"/>
          <w:szCs w:val="32"/>
        </w:rPr>
        <w:t>港桥产业园、北翼</w:t>
      </w:r>
      <w:r>
        <w:rPr>
          <w:rFonts w:ascii="方正仿宋_GBK" w:hAnsi="Calibri" w:cs="宋体"/>
          <w:kern w:val="0"/>
          <w:szCs w:val="32"/>
        </w:rPr>
        <w:t>ž</w:t>
      </w:r>
      <w:r>
        <w:rPr>
          <w:rFonts w:hint="eastAsia" w:ascii="方正仿宋_GBK" w:hAnsi="Calibri" w:cs="宋体"/>
          <w:kern w:val="0"/>
          <w:szCs w:val="32"/>
        </w:rPr>
        <w:t>三教（板桥）产业园，</w:t>
      </w:r>
      <w:r>
        <w:rPr>
          <w:rFonts w:ascii="方正仿宋_GBK" w:hAnsi="Calibri" w:cs="宋体"/>
          <w:kern w:val="0"/>
          <w:szCs w:val="32"/>
        </w:rPr>
        <w:t>鼓励股票、债券、信托、基金等资本市场融资。加大政府资金扶持，加大银行信贷支持，鼓励软件产业园、大数据产业园等科技园内初创型企业拓展天使投资、风险投资等融资途径；鼓励新城片区、旺龙湖片区、老城片区等区内成长型企业拓展风险投资、私募股权投资等融资途径；鼓励凤凰湖产业园、港桥产业园、三教产业园、大数据产业园以及其他产业基地内的成熟型企业利用各种资本市场融资手段满足资金需求，积极扶持企业在主板、科创板、创业板、新三板或其他OTC市场上市融资，积极探索境内外企业债券融资新途径。加大知识价值信用贷款试点力度，到2025年末，区内科技型企业获得知识价值信用贷款授信总额达100亿元。</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加</w:t>
      </w:r>
      <w:r>
        <w:rPr>
          <w:rFonts w:hint="eastAsia" w:ascii="方正仿宋_GBK" w:hAnsi="Calibri" w:cs="宋体"/>
          <w:kern w:val="0"/>
          <w:szCs w:val="32"/>
        </w:rPr>
        <w:t>速“城”的壮大，加大重大基础设施、新型城镇化建设、商贸服务业的金融支持，助推建设成渝地区“双百”级区域性中心城市。通过财政出资、贷款贴息、政府产业引导基金、战略性新兴产业基金、风险补偿等方式，有序、高效带动金融资本、社会资本支持区域性中心城市建设。积极协调开发性金融机构参与“区域综合交通物流枢纽”建设，为项目提供金融服务。探索改组国有投融资平台公司，鼓励社会资本出资参股。鼓励开展融资租赁业务，加大港区、交通枢纽等重大基础设施建设融资力度。鼓励开展消费金融等业务，围绕支持保税贸易、跨境电商、时尚消费城等提供专业化金融服务，打造“金融+商贸+物流”的“一站式”金融综合服务生态圈。引导金融机构依托“</w:t>
      </w:r>
      <w:r>
        <w:rPr>
          <w:rFonts w:ascii="方正仿宋_GBK" w:hAnsi="Calibri" w:cs="宋体"/>
          <w:kern w:val="0"/>
          <w:szCs w:val="32"/>
        </w:rPr>
        <w:t>3+4+3</w:t>
      </w:r>
      <w:r>
        <w:rPr>
          <w:rFonts w:hint="eastAsia" w:ascii="方正仿宋_GBK" w:hAnsi="Calibri" w:cs="宋体"/>
          <w:kern w:val="0"/>
          <w:szCs w:val="32"/>
        </w:rPr>
        <w:t>”商贸集中区域，创新消费信贷新模式，推出电子产品、旅游、教育、汽车、房产等信贷消费品，打造新的经济增长</w:t>
      </w:r>
      <w:r>
        <w:rPr>
          <w:rFonts w:ascii="方正仿宋_GBK" w:hAnsi="Calibri" w:cs="宋体"/>
          <w:kern w:val="0"/>
          <w:szCs w:val="32"/>
        </w:rPr>
        <w:t>点。</w:t>
      </w:r>
    </w:p>
    <w:p>
      <w:pPr>
        <w:widowControl w:val="0"/>
        <w:snapToGrid w:val="0"/>
        <w:spacing w:line="276" w:lineRule="auto"/>
        <w:ind w:firstLine="640" w:firstLineChars="200"/>
        <w:rPr>
          <w:rFonts w:ascii="方正仿宋_GBK" w:hAnsi="Calibri" w:cs="宋体"/>
          <w:kern w:val="0"/>
          <w:szCs w:val="32"/>
        </w:rPr>
      </w:pPr>
      <w:r>
        <w:rPr>
          <w:rFonts w:hint="eastAsia" w:ascii="方正仿宋_GBK" w:hAnsi="Calibri" w:cs="宋体"/>
          <w:kern w:val="0"/>
          <w:szCs w:val="32"/>
        </w:rPr>
        <w:t>加快“景”的提升，开展绿色金融创新示范区、文旅金融创新示范区建设，助推建设近悦远来的美丽之地。抢抓重庆创建长江经济带（重庆）绿色金融改革创新试验区的机遇，依托</w:t>
      </w:r>
      <w:r>
        <w:rPr>
          <w:rFonts w:ascii="方正仿宋_GBK" w:hAnsi="Calibri" w:cs="宋体"/>
          <w:kern w:val="0"/>
          <w:szCs w:val="32"/>
        </w:rPr>
        <w:t>西部特色产业区、东南部现代农业区、东北部生态产业区</w:t>
      </w:r>
      <w:r>
        <w:rPr>
          <w:rFonts w:hint="eastAsia" w:ascii="方正仿宋_GBK" w:hAnsi="Calibri" w:cs="宋体"/>
          <w:kern w:val="0"/>
          <w:szCs w:val="32"/>
        </w:rPr>
        <w:t>，以山水城市生态建设为引领，推进绿色金融服务体系建设，支持 “山、水、田、园”特色的乡村旅游示范点建设，激发各类金融主体参与文旅金融创新示范的积极性和创造性，发挥金融在促进绿色产业发展、生态文明建设等方面的积极作用。到</w:t>
      </w:r>
      <w:r>
        <w:rPr>
          <w:rFonts w:ascii="方正仿宋_GBK" w:hAnsi="Calibri" w:cs="宋体"/>
          <w:kern w:val="0"/>
          <w:szCs w:val="32"/>
        </w:rPr>
        <w:t>2025年，</w:t>
      </w:r>
      <w:r>
        <w:rPr>
          <w:rFonts w:hint="eastAsia" w:ascii="方正仿宋_GBK" w:hAnsi="Calibri" w:cs="宋体"/>
          <w:kern w:val="0"/>
          <w:szCs w:val="32"/>
        </w:rPr>
        <w:t>基本</w:t>
      </w:r>
      <w:r>
        <w:rPr>
          <w:rFonts w:ascii="方正仿宋_GBK" w:hAnsi="Calibri" w:cs="宋体"/>
          <w:kern w:val="0"/>
          <w:szCs w:val="32"/>
        </w:rPr>
        <w:t>建成凤凰湖文旅基金公园，远景规划到2035年，</w:t>
      </w:r>
      <w:r>
        <w:rPr>
          <w:rFonts w:hint="eastAsia" w:ascii="方正仿宋_GBK" w:hAnsi="Calibri" w:cs="宋体"/>
          <w:kern w:val="0"/>
          <w:szCs w:val="32"/>
        </w:rPr>
        <w:t>形成“一山一湖一小镇”的创投基金格局</w:t>
      </w:r>
      <w:r>
        <w:rPr>
          <w:rFonts w:ascii="方正仿宋_GBK" w:hAnsi="Calibri" w:cs="宋体"/>
          <w:kern w:val="0"/>
          <w:szCs w:val="32"/>
        </w:rPr>
        <w:t>。</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三、推动“保险+产业”纵深发展</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促进软件与信息技术服务业、大数据产业与保险业深度融合发展。围绕电子信息产业，支持电子信息企业、高新技术企业、协同创新中心等与保险机构合作开展科技保险、贷款保证保险等业务，促进科技成果产业化；支持出口类电子信息企业开展物流保险、出口信用保险等业务；支持电子市场、电子商务等相关企业开展贸易信用保险、在线交易保证保险等业务。</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促进保险业与现代都市农业融合发展。发挥中国移</w:t>
      </w:r>
      <w:r>
        <w:rPr>
          <w:rFonts w:hint="eastAsia" w:ascii="方正仿宋_GBK" w:hAnsi="Calibri" w:cs="宋体"/>
          <w:kern w:val="0"/>
          <w:szCs w:val="32"/>
        </w:rPr>
        <w:t>动“</w:t>
      </w:r>
      <w:r>
        <w:rPr>
          <w:rFonts w:ascii="方正仿宋_GBK" w:hAnsi="Calibri" w:cs="宋体"/>
          <w:kern w:val="0"/>
          <w:szCs w:val="32"/>
        </w:rPr>
        <w:t>12582农信</w:t>
      </w:r>
      <w:r>
        <w:rPr>
          <w:rFonts w:hint="eastAsia" w:ascii="方正仿宋_GBK" w:hAnsi="Calibri" w:cs="宋体"/>
          <w:kern w:val="0"/>
          <w:szCs w:val="32"/>
        </w:rPr>
        <w:t>通”等综</w:t>
      </w:r>
      <w:r>
        <w:rPr>
          <w:rFonts w:ascii="方正仿宋_GBK" w:hAnsi="Calibri" w:cs="宋体"/>
          <w:kern w:val="0"/>
          <w:szCs w:val="32"/>
        </w:rPr>
        <w:t>合服务平台作用，引导各类保险机构为农户、农产品提供定制保险服务。支持保险机构探索开展农产品价格指数保险创新，推动我区的茶叶、蔬菜、食用菌、水稻、油菜等特色效益农业发展。开</w:t>
      </w:r>
      <w:r>
        <w:rPr>
          <w:rFonts w:hint="eastAsia" w:ascii="方正仿宋_GBK" w:hAnsi="Calibri" w:cs="宋体"/>
          <w:kern w:val="0"/>
          <w:szCs w:val="32"/>
        </w:rPr>
        <w:t>展“信贷+保险+担保+风险补偿”的创新性普惠保险服务，支持保险机构</w:t>
      </w:r>
      <w:r>
        <w:rPr>
          <w:rFonts w:ascii="方正仿宋_GBK" w:hAnsi="Calibri" w:cs="宋体"/>
          <w:kern w:val="0"/>
          <w:szCs w:val="32"/>
        </w:rPr>
        <w:t>拓展农村小额信贷保险、农房保险、农机保险、农业基础设施保险、森林保险及借款人意外险等普惠保险业务。</w:t>
      </w:r>
    </w:p>
    <w:tbl>
      <w:tblPr>
        <w:tblStyle w:val="7"/>
        <w:tblW w:w="8845" w:type="dxa"/>
        <w:jc w:val="center"/>
        <w:tblLayout w:type="fixed"/>
        <w:tblCellMar>
          <w:top w:w="0" w:type="dxa"/>
          <w:left w:w="108" w:type="dxa"/>
          <w:bottom w:w="0" w:type="dxa"/>
          <w:right w:w="108" w:type="dxa"/>
        </w:tblCellMar>
      </w:tblPr>
      <w:tblGrid>
        <w:gridCol w:w="8845"/>
      </w:tblGrid>
      <w:tr>
        <w:tblPrEx>
          <w:tblCellMar>
            <w:top w:w="0" w:type="dxa"/>
            <w:left w:w="108" w:type="dxa"/>
            <w:bottom w:w="0" w:type="dxa"/>
            <w:right w:w="108" w:type="dxa"/>
          </w:tblCellMar>
        </w:tblPrEx>
        <w:trPr>
          <w:trHeight w:val="0" w:hRule="atLeast"/>
          <w:jc w:val="center"/>
        </w:trPr>
        <w:tc>
          <w:tcPr>
            <w:tcW w:w="88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76" w:lineRule="auto"/>
              <w:jc w:val="center"/>
              <w:rPr>
                <w:rFonts w:ascii="方正黑体_GBK" w:hAnsi="Calibri" w:eastAsia="方正黑体_GBK" w:cs="宋体"/>
                <w:kern w:val="0"/>
                <w:sz w:val="28"/>
                <w:szCs w:val="28"/>
              </w:rPr>
            </w:pPr>
            <w:r>
              <w:rPr>
                <w:rFonts w:hint="eastAsia" w:ascii="方正黑体_GBK" w:hAnsi="Calibri" w:eastAsia="方正黑体_GBK" w:cs="宋体"/>
                <w:kern w:val="0"/>
                <w:sz w:val="28"/>
                <w:szCs w:val="28"/>
              </w:rPr>
              <w:t>专栏6：中华财险永川中心支公司支持科技产业发展示例</w:t>
            </w:r>
          </w:p>
        </w:tc>
      </w:tr>
      <w:tr>
        <w:tblPrEx>
          <w:tblCellMar>
            <w:top w:w="0" w:type="dxa"/>
            <w:left w:w="108" w:type="dxa"/>
            <w:bottom w:w="0" w:type="dxa"/>
            <w:right w:w="108" w:type="dxa"/>
          </w:tblCellMar>
        </w:tblPrEx>
        <w:trPr>
          <w:trHeight w:val="0" w:hRule="atLeast"/>
          <w:jc w:val="center"/>
        </w:trPr>
        <w:tc>
          <w:tcPr>
            <w:tcW w:w="88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76" w:lineRule="auto"/>
              <w:rPr>
                <w:rFonts w:ascii="方正仿宋_GBK" w:hAnsi="Calibri" w:cs="宋体"/>
                <w:kern w:val="0"/>
                <w:sz w:val="28"/>
                <w:szCs w:val="28"/>
              </w:rPr>
            </w:pPr>
            <w:r>
              <w:rPr>
                <w:rFonts w:hint="eastAsia" w:ascii="方正仿宋_GBK" w:hAnsi="Calibri" w:cs="宋体"/>
                <w:kern w:val="0"/>
                <w:sz w:val="28"/>
                <w:szCs w:val="28"/>
              </w:rPr>
              <w:t xml:space="preserve">     </w:t>
            </w:r>
            <w:r>
              <w:rPr>
                <w:rFonts w:ascii="方正仿宋_GBK" w:hAnsi="Calibri" w:cs="宋体"/>
                <w:kern w:val="0"/>
                <w:sz w:val="28"/>
                <w:szCs w:val="28"/>
              </w:rPr>
              <w:t>探索科技型企业科研费用损失保险：</w:t>
            </w:r>
            <w:r>
              <w:rPr>
                <w:rFonts w:hint="eastAsia" w:ascii="方正仿宋_GBK" w:hAnsi="Calibri" w:cs="宋体"/>
                <w:kern w:val="0"/>
                <w:sz w:val="28"/>
                <w:szCs w:val="28"/>
              </w:rPr>
              <w:t>把握永川区技术产业开发相对集中的特点，抓住科技型企业大量研发需求与科研费用损失风险的矛盾点，积极与相关部门对接，助力推进科技型企业科研费用损失保险，极大消除企业对研发失败的担忧与顾虑，进一步激发科技型企业研发投入和自主创新的热情。同时，与银行洽谈合作，通过“保险+银行”的模式，打造“金融包”，实现科技型企业研发费用贷款和科研费用损失保险相结合的模式，助力永川区科技型企业发展</w:t>
            </w:r>
            <w:r>
              <w:rPr>
                <w:rFonts w:ascii="方正仿宋_GBK" w:hAnsi="Calibri" w:cs="宋体"/>
                <w:kern w:val="0"/>
                <w:sz w:val="28"/>
                <w:szCs w:val="28"/>
              </w:rPr>
              <w:t>。</w:t>
            </w:r>
          </w:p>
          <w:p>
            <w:pPr>
              <w:widowControl w:val="0"/>
              <w:snapToGrid w:val="0"/>
              <w:spacing w:line="276" w:lineRule="auto"/>
              <w:rPr>
                <w:rFonts w:ascii="方正仿宋_GBK" w:hAnsi="Calibri" w:cs="宋体"/>
                <w:kern w:val="0"/>
                <w:sz w:val="28"/>
                <w:szCs w:val="28"/>
              </w:rPr>
            </w:pPr>
            <w:r>
              <w:rPr>
                <w:rFonts w:hint="eastAsia" w:ascii="方正仿宋_GBK" w:hAnsi="Calibri" w:cs="宋体"/>
                <w:kern w:val="0"/>
                <w:sz w:val="28"/>
                <w:szCs w:val="28"/>
              </w:rPr>
              <w:t xml:space="preserve">     </w:t>
            </w:r>
            <w:r>
              <w:rPr>
                <w:rFonts w:ascii="方正仿宋_GBK" w:hAnsi="Calibri" w:cs="宋体"/>
                <w:kern w:val="0"/>
                <w:sz w:val="28"/>
                <w:szCs w:val="28"/>
              </w:rPr>
              <w:t>探索各类型保证金采用金融保险化的方式：探索充分释放保证金缴纳企业资金流动性，缓解企业资金压力有效增加经济活力，主要方向是建设工程履约保证保险和农民工工资支付保证保险两类。</w:t>
            </w:r>
          </w:p>
          <w:p>
            <w:pPr>
              <w:widowControl w:val="0"/>
              <w:snapToGrid w:val="0"/>
              <w:spacing w:line="276" w:lineRule="auto"/>
              <w:rPr>
                <w:rFonts w:eastAsia="宋体"/>
                <w:kern w:val="0"/>
                <w:sz w:val="28"/>
                <w:szCs w:val="28"/>
              </w:rPr>
            </w:pPr>
            <w:r>
              <w:rPr>
                <w:rFonts w:hint="eastAsia" w:ascii="方正仿宋_GBK" w:hAnsi="Calibri" w:cs="宋体"/>
                <w:kern w:val="0"/>
                <w:sz w:val="28"/>
                <w:szCs w:val="28"/>
              </w:rPr>
              <w:t xml:space="preserve">     </w:t>
            </w:r>
            <w:r>
              <w:rPr>
                <w:rFonts w:ascii="方正仿宋_GBK" w:hAnsi="Calibri" w:cs="宋体"/>
                <w:kern w:val="0"/>
                <w:sz w:val="28"/>
                <w:szCs w:val="28"/>
              </w:rPr>
              <w:t>探</w:t>
            </w:r>
            <w:r>
              <w:rPr>
                <w:rFonts w:hint="eastAsia" w:ascii="方正仿宋_GBK" w:hAnsi="Calibri" w:cs="宋体"/>
                <w:kern w:val="0"/>
                <w:sz w:val="28"/>
                <w:szCs w:val="28"/>
              </w:rPr>
              <w:t>索“保险+银行”模式</w:t>
            </w:r>
            <w:r>
              <w:rPr>
                <w:rFonts w:ascii="方正仿宋_GBK" w:hAnsi="Calibri" w:cs="宋体"/>
                <w:kern w:val="0"/>
                <w:sz w:val="28"/>
                <w:szCs w:val="28"/>
              </w:rPr>
              <w:t>助力生猪产业链发展：购买保险的生猪可以申请在永川北银村镇银行等合作银行进行抵押贷款，通过保险赋予生猪抵押价值，解决养殖户无抵押物无法获得贷款的困境。</w:t>
            </w:r>
          </w:p>
        </w:tc>
      </w:tr>
    </w:tbl>
    <w:p>
      <w:pPr>
        <w:widowControl w:val="0"/>
        <w:snapToGrid w:val="0"/>
        <w:spacing w:before="0" w:after="0" w:line="276" w:lineRule="auto"/>
        <w:ind w:firstLine="640" w:firstLineChars="200"/>
        <w:jc w:val="left"/>
        <w:rPr>
          <w:rFonts w:hint="eastAsia" w:ascii="方正仿宋_GBK" w:hAnsi="Calibri" w:eastAsia="方正仿宋_GBK" w:cs="宋体"/>
          <w:kern w:val="0"/>
          <w:szCs w:val="32"/>
        </w:rPr>
      </w:pPr>
    </w:p>
    <w:p>
      <w:pPr>
        <w:widowControl w:val="0"/>
        <w:snapToGrid w:val="0"/>
        <w:spacing w:before="0" w:after="0" w:line="276" w:lineRule="auto"/>
        <w:jc w:val="center"/>
        <w:rPr>
          <w:rFonts w:ascii="方正黑体_GBK" w:hAnsi="Calibri" w:eastAsia="方正黑体_GBK" w:cs="宋体"/>
          <w:kern w:val="0"/>
          <w:szCs w:val="32"/>
        </w:rPr>
      </w:pPr>
      <w:r>
        <w:rPr>
          <w:rFonts w:hint="eastAsia" w:ascii="方正黑体_GBK" w:hAnsi="Calibri" w:eastAsia="方正黑体_GBK" w:cs="宋体"/>
          <w:kern w:val="0"/>
          <w:szCs w:val="32"/>
        </w:rPr>
        <w:t>第二节  开展金融科技先行试点</w:t>
      </w:r>
    </w:p>
    <w:p>
      <w:pPr>
        <w:widowControl w:val="0"/>
        <w:snapToGrid w:val="0"/>
        <w:spacing w:line="276" w:lineRule="auto"/>
        <w:ind w:firstLine="640" w:firstLineChars="200"/>
        <w:rPr>
          <w:rFonts w:ascii="方正仿宋_GBK" w:hAnsi="Calibri" w:cs="宋体"/>
          <w:kern w:val="0"/>
          <w:szCs w:val="32"/>
        </w:rPr>
      </w:pP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承</w:t>
      </w:r>
      <w:r>
        <w:rPr>
          <w:rFonts w:hint="eastAsia" w:ascii="方正仿宋_GBK" w:hAnsi="Calibri" w:cs="宋体"/>
          <w:kern w:val="0"/>
          <w:szCs w:val="32"/>
        </w:rPr>
        <w:t>接市级相关政策，开展金融科技融合行动，实施金融科技创新试点，重点通过“三试点”“一服务”“一创新”，努力将永川区建设成为市场主体集聚、关键技术领先、新兴业态丰富、监管服务高效、科技人才汇聚的金融科技城</w:t>
      </w:r>
      <w:r>
        <w:rPr>
          <w:rFonts w:ascii="方正仿宋_GBK" w:hAnsi="Calibri" w:cs="宋体"/>
          <w:kern w:val="0"/>
          <w:szCs w:val="32"/>
        </w:rPr>
        <w:t>。</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一、培育金融科技企业</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建设金融科技</w:t>
      </w:r>
      <w:r>
        <w:rPr>
          <w:rFonts w:hint="eastAsia" w:ascii="方正仿宋_GBK" w:hAnsi="Calibri" w:cs="宋体"/>
          <w:kern w:val="0"/>
          <w:szCs w:val="32"/>
        </w:rPr>
        <w:t>头</w:t>
      </w:r>
      <w:r>
        <w:rPr>
          <w:rFonts w:ascii="方正仿宋_GBK" w:hAnsi="Calibri" w:cs="宋体"/>
          <w:kern w:val="0"/>
          <w:szCs w:val="32"/>
        </w:rPr>
        <w:t>部企业集聚区。吸引国内外领先的持牌金融科技企业来永设立全国性、区域性金融科技总部，大数据、智能化研发中心，数据服务公司；鼓励银行、证券、保险等各类金融机构在永布局金融科技业务。支持金融机构设立金融科技子公司，鼓励金融机构在符合政策条件下，加强与金融科技初创企业的战略合作，或联合设立新型经营主体，以合资或合作方式分享大数据、智能化等金融科技研发成果。探索与重庆农村商业银行、重庆银行、重庆三峡银行、西南证券等市属法人机构采取直接投资方式，设立金融科技子公司、数据挖掘与分析、智能开发、云计算、云存储等创新部门或下设机构。</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发挥金融科技龙头企业作用。依托百度、阿里云、中国普天、达瓦科技、博彦科技、云集电商等行业龙头企业，进一步推动大数据技术的应用与发展。鼓励企业助推金融机构加大数据采集、数据分析、数据清洗、数据外包等技术研发力度。整合政务数据、第三方机构等社会信用数据，围绕银行、证券、保险、要素市场、小贷、担保等金融业务数据建立金融监测预警平台，提高金融决策水平。</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对接重庆市金融大数据服务中心，到2025年，基本建成区域性金融数据服务平台，成功打造一批金融科技标准示范项目，培育、认定一批区内金</w:t>
      </w:r>
      <w:r>
        <w:rPr>
          <w:rFonts w:hint="eastAsia" w:ascii="方正仿宋_GBK" w:hAnsi="Calibri" w:cs="宋体"/>
          <w:kern w:val="0"/>
          <w:szCs w:val="32"/>
        </w:rPr>
        <w:t>融机构成为金融科技标准“领跑者”，将</w:t>
      </w:r>
      <w:r>
        <w:rPr>
          <w:rFonts w:ascii="方正仿宋_GBK" w:hAnsi="Calibri" w:cs="宋体"/>
          <w:kern w:val="0"/>
          <w:szCs w:val="32"/>
        </w:rPr>
        <w:t>永川区建设成为金融科技标准领军城区。</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二、创新金融科技业务</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加快传统金融服务向数字化、智能化转型。支持金融科技领域的基础、共性和关键技术的研发，推动供应链金融、绿色金融、普惠金融、金融风险防范等领域金融科技应用试点，促进产学研用协同联动。鼓励银行业金融机构运用指纹、虹膜、人脸识别等身份验证技术和二维码、近场支付等支付技术提升开户和支付效率，运用区块链、智能合约、物联网等技术优化联合贷款对账、票据、信用证等业务流程。探索推广智能银行网点，支持农业银行永川支行等区内银行机构设立无人银行、智慧银行、智能ATM机等智能银行网点，运用大数据、智能化技术等拓展银行柜台业务，实现智能营销、智能客服，优化业务流程。</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鼓励新型金融业务创新。支持科技企业围绕金融业务布局支付清算、大数据、云计算、物联网、区块链、人工智能、软件开发等领域业务。鼓励小贷、担保、保理、消费金融、资产管理、信托等新型金融业态运用区块链、大数据、云计算、人工智能等技术开展业务创新和风险防控。鼓励供应链金融企业探索运用物联网和智能合约技术提升运行效率，鼓励融资租赁企业运用区块链技术共享租赁资产登记信息，鼓励小贷企业、要素交易平台、企业和个人征信机构等运用云计算、人工智能等技术创新信用评级、债权登记等业务流程。</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三、金融支持科技创新</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大力发展科创金融，丰富科创金融产品，改善科创金融供给，探索建设区域性科创金融改革试验区，提升区域科技创新原动力。增添企业直接融资动力，支持科技型企业上市或在全国中小企业股份转让系统、重庆股份转让中心等挂牌融资，重点推动一批优质科技型企业申报科创板、创业板。拓宽债券市场融资渠道，支持科技型企业运用企业债、公司债、可转债、短期融资券、中期票据、资产证券化等进行融资。鼓励银行、小贷公司等向科技型企业发放贷款。鼓励商业银行理财子公司、证券公司直投子公司、保险公司、社保基金等长期资金通过直接投资、委托投资等方式，加大科技型企业的股权投资力度。大力发展风险投资，引导上市公司、龙头企业发起设立创业投资机构，培育种子期、初创期、成长期科技创新项目。</w:t>
      </w:r>
    </w:p>
    <w:p>
      <w:pPr>
        <w:widowControl w:val="0"/>
        <w:snapToGrid w:val="0"/>
        <w:spacing w:line="276" w:lineRule="auto"/>
        <w:ind w:firstLine="640" w:firstLineChars="200"/>
        <w:rPr>
          <w:rFonts w:ascii="方正仿宋_GBK" w:hAnsi="Calibri" w:cs="宋体"/>
          <w:kern w:val="0"/>
          <w:szCs w:val="32"/>
        </w:rPr>
      </w:pPr>
      <w:r>
        <w:rPr>
          <w:rFonts w:hint="eastAsia" w:ascii="方正仿宋_GBK" w:hAnsi="Calibri" w:cs="宋体"/>
          <w:kern w:val="0"/>
          <w:szCs w:val="32"/>
        </w:rPr>
        <w:t>完善专营机构服务体系。鼓励银行建立完善科创金融服务管理体制机制，设立科技支行、科技金融服务中心、科技金融事业部等专营机构，打造专业化服务团队，提升科创金融服务水平。支持符合条件的保险公司设立专门服务于科技创新的科技保险专营机构，进一步提升科技保险密度。鼓励证券公司加强科创投资团队建设，升级科创投研体系，与科技型企业共同开展产业研究与产品设计。</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建立科技型企业融资对接平台。推动科技金融线上服务平台功能建设，对接渝快融、信用重庆、重庆科技资源共享平台等，鼓励各类金融机构共同参与企业经营数据分析模型建设，加强数据共享，打造服务科技型企业的融资对接（路演）平台。充分发挥政府引导基金作用，探索设立永川区金融科技专项产业引导基金，对接全市双城经济圈科创母基金，吸引创业投资企业来永设立子基金。大力发展科技型企业孵化器，协调市级资源，不定期举行路演推介，搭建资本与项目对接平台，加大对重点科技创新项目的推介力度。</w:t>
      </w:r>
    </w:p>
    <w:p>
      <w:pPr>
        <w:widowControl w:val="0"/>
        <w:snapToGrid w:val="0"/>
        <w:spacing w:line="276" w:lineRule="auto"/>
        <w:ind w:firstLine="640" w:firstLineChars="200"/>
        <w:rPr>
          <w:rFonts w:hint="eastAsia" w:ascii="方正仿宋_GBK" w:hAnsi="Calibri" w:cs="宋体"/>
          <w:kern w:val="0"/>
          <w:szCs w:val="32"/>
        </w:rPr>
      </w:pPr>
    </w:p>
    <w:p>
      <w:pPr>
        <w:widowControl w:val="0"/>
        <w:snapToGrid w:val="0"/>
        <w:spacing w:before="0" w:after="0" w:line="276" w:lineRule="auto"/>
        <w:jc w:val="center"/>
        <w:rPr>
          <w:rFonts w:hint="eastAsia" w:ascii="方正黑体_GBK" w:hAnsi="Calibri" w:eastAsia="方正黑体_GBK" w:cs="宋体"/>
          <w:kern w:val="0"/>
          <w:sz w:val="32"/>
          <w:szCs w:val="32"/>
        </w:rPr>
      </w:pPr>
      <w:r>
        <w:rPr>
          <w:rFonts w:hint="eastAsia" w:ascii="方正黑体_GBK" w:hAnsi="Calibri" w:eastAsia="方正黑体_GBK" w:cs="宋体"/>
          <w:kern w:val="0"/>
          <w:sz w:val="32"/>
          <w:szCs w:val="32"/>
        </w:rPr>
        <w:t>第六章  健全“三大金融体系”</w:t>
      </w:r>
    </w:p>
    <w:p>
      <w:pPr>
        <w:widowControl w:val="0"/>
        <w:snapToGrid w:val="0"/>
        <w:spacing w:line="276" w:lineRule="auto"/>
        <w:ind w:firstLine="640"/>
        <w:rPr>
          <w:rFonts w:ascii="方正仿宋_GBK" w:hAnsi="Calibri" w:cs="宋体"/>
          <w:kern w:val="0"/>
          <w:szCs w:val="32"/>
        </w:rPr>
      </w:pPr>
    </w:p>
    <w:p>
      <w:pPr>
        <w:widowControl w:val="0"/>
        <w:snapToGrid w:val="0"/>
        <w:spacing w:line="276" w:lineRule="auto"/>
        <w:ind w:firstLine="640"/>
        <w:rPr>
          <w:rFonts w:ascii="方正仿宋_GBK" w:hAnsi="Calibri" w:cs="宋体"/>
          <w:kern w:val="0"/>
          <w:szCs w:val="32"/>
        </w:rPr>
      </w:pPr>
      <w:r>
        <w:rPr>
          <w:rFonts w:ascii="方正仿宋_GBK" w:hAnsi="Calibri" w:cs="宋体"/>
          <w:kern w:val="0"/>
          <w:szCs w:val="32"/>
        </w:rPr>
        <w:t>坚持市场化发展，完善金融业态，健全机构门类和结构层次，提升金融功能，增强金融机构实力，优化金融服务，着力打造现代化金融体系。</w:t>
      </w:r>
    </w:p>
    <w:p>
      <w:pPr>
        <w:widowControl w:val="0"/>
        <w:snapToGrid w:val="0"/>
        <w:spacing w:line="276" w:lineRule="auto"/>
        <w:ind w:firstLine="640"/>
        <w:rPr>
          <w:rFonts w:hint="eastAsia" w:ascii="方正仿宋_GBK" w:hAnsi="Calibri" w:cs="宋体"/>
          <w:kern w:val="0"/>
          <w:szCs w:val="32"/>
        </w:rPr>
      </w:pPr>
    </w:p>
    <w:p>
      <w:pPr>
        <w:widowControl w:val="0"/>
        <w:snapToGrid w:val="0"/>
        <w:spacing w:before="0" w:after="0" w:line="276" w:lineRule="auto"/>
        <w:jc w:val="center"/>
        <w:rPr>
          <w:rFonts w:ascii="方正黑体_GBK" w:hAnsi="Calibri" w:eastAsia="方正黑体_GBK" w:cs="宋体"/>
          <w:kern w:val="0"/>
          <w:szCs w:val="32"/>
        </w:rPr>
      </w:pPr>
      <w:r>
        <w:rPr>
          <w:rFonts w:hint="eastAsia" w:ascii="方正黑体_GBK" w:hAnsi="Calibri" w:eastAsia="方正黑体_GBK" w:cs="宋体"/>
          <w:kern w:val="0"/>
          <w:szCs w:val="32"/>
        </w:rPr>
        <w:t>第一节  深化金融业态体系</w:t>
      </w:r>
    </w:p>
    <w:p>
      <w:pPr>
        <w:widowControl w:val="0"/>
        <w:snapToGrid w:val="0"/>
        <w:spacing w:line="276" w:lineRule="auto"/>
        <w:ind w:firstLine="640"/>
        <w:rPr>
          <w:rFonts w:ascii="方正仿宋_GBK" w:hAnsi="Calibri" w:cs="宋体"/>
          <w:kern w:val="0"/>
          <w:szCs w:val="32"/>
        </w:rPr>
      </w:pPr>
    </w:p>
    <w:p>
      <w:pPr>
        <w:widowControl w:val="0"/>
        <w:snapToGrid w:val="0"/>
        <w:spacing w:line="276" w:lineRule="auto"/>
        <w:ind w:firstLine="640"/>
        <w:rPr>
          <w:rFonts w:hint="eastAsia" w:ascii="方正仿宋_GBK" w:hAnsi="Calibri" w:cs="宋体"/>
          <w:kern w:val="0"/>
          <w:szCs w:val="32"/>
        </w:rPr>
      </w:pPr>
      <w:r>
        <w:rPr>
          <w:rFonts w:ascii="方正仿宋_GBK" w:hAnsi="Calibri" w:cs="宋体"/>
          <w:kern w:val="0"/>
          <w:szCs w:val="32"/>
        </w:rPr>
        <w:t>加快银行、保险、证券、期货等传统机构集聚，促进基金、资产管理、金融科技、财务公司、信托、风险投资等新型金融业态发展，健全金融中介机构，完善永川区金融业态体系。</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一、壮大传统金融业规模</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加大政策支持力度，建立金融机构引进激励机制，支持银行、证券、保险、期货等金融机构来永设立分支机构或区域性总部。支</w:t>
      </w:r>
      <w:r>
        <w:rPr>
          <w:rFonts w:hint="eastAsia" w:ascii="方正仿宋_GBK" w:hAnsi="Calibri" w:cs="宋体"/>
          <w:kern w:val="0"/>
          <w:szCs w:val="32"/>
        </w:rPr>
        <w:t>持国际或东盟地区金融机构在永设立服务西部陆海新通道和“一带一路”的展</w:t>
      </w:r>
      <w:r>
        <w:rPr>
          <w:rFonts w:ascii="方正仿宋_GBK" w:hAnsi="Calibri" w:cs="宋体"/>
          <w:kern w:val="0"/>
          <w:szCs w:val="32"/>
        </w:rPr>
        <w:t>业（运营）中心或代表处。到2025年末，</w:t>
      </w:r>
      <w:r>
        <w:rPr>
          <w:rFonts w:hint="eastAsia" w:ascii="方正仿宋_GBK" w:hAnsi="Calibri" w:cs="宋体"/>
          <w:kern w:val="0"/>
          <w:szCs w:val="32"/>
        </w:rPr>
        <w:t>新增银行业</w:t>
      </w:r>
      <w:r>
        <w:rPr>
          <w:rFonts w:ascii="方正仿宋_GBK" w:hAnsi="Calibri" w:cs="宋体"/>
          <w:kern w:val="0"/>
          <w:szCs w:val="32"/>
        </w:rPr>
        <w:t>金融机构</w:t>
      </w:r>
      <w:r>
        <w:rPr>
          <w:rFonts w:hint="eastAsia" w:ascii="方正仿宋_GBK" w:hAnsi="Calibri" w:cs="宋体"/>
          <w:kern w:val="0"/>
          <w:szCs w:val="32"/>
        </w:rPr>
        <w:t>5</w:t>
      </w:r>
      <w:r>
        <w:rPr>
          <w:rFonts w:ascii="方正仿宋_GBK" w:hAnsi="Calibri" w:cs="宋体"/>
          <w:kern w:val="0"/>
          <w:szCs w:val="32"/>
        </w:rPr>
        <w:t>家。支持银行机构拓展中间业务，扩大承兑汇票规模，规范发展委托贷款、信托贷款、理财、担保、金融衍生工具交易等表外业务。扩大证券市场规模，发展资产管理、投资银行、融资融券、股权直投等投融资业务。扩大保险市场规模，规范发展保险中介机构，完善保险营销体制。鼓励金融机构针对科技创新等产业发展需求设立新型分支机构，支持发展科技银行、专业银行、社区银行等支持创业创新和惠及民生的特色银行，提升金融机构专业化水平，增强综合服务能力。</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二、完善新型金融业态主体</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加快推动基金、信托、资产管理、金融科技、供应链金融、第三方支付、消费金融、汽车金融、信用再保险等新型金融业态在永落地，完善新型金融业态，丰富金融市场主体。积极引进和发展一批小贷、担保、融资租赁、商业保理等新型金融机构，加大金融对小微企业、个体工商户等市场主体的金融服务力度。大力吸引高质量的风险投资（VC）和私募股权投资（PE）机构来永投资。探索中外合资股权投资基金、创业投资基金。鼓励社会资本参与组建科技型融资担保、融资租赁等新型金融机构，支持符合条件的企业建立财务公司，扩大对产业链上中小企业的服务，多途径解决中小企业发展的资金问题。到2025年末，引入</w:t>
      </w:r>
      <w:r>
        <w:rPr>
          <w:rFonts w:hint="eastAsia" w:ascii="方正仿宋_GBK" w:hAnsi="Calibri" w:cs="宋体"/>
          <w:kern w:val="0"/>
          <w:szCs w:val="32"/>
        </w:rPr>
        <w:t>20</w:t>
      </w:r>
      <w:r>
        <w:rPr>
          <w:rFonts w:ascii="方正仿宋_GBK" w:hAnsi="Calibri" w:cs="宋体"/>
          <w:kern w:val="0"/>
          <w:szCs w:val="32"/>
        </w:rPr>
        <w:t>家以上新型金融机构，实现资产管理、汽车金融、融资租赁、金融科技等业态主体零的突破。</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三、丰富金融业中介机构</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加快提高与金融市场发展相适应的中介服务水平，建设机构集聚、配套完善的金融中介服务体系。引进全国性的综合信用增进服务机构或鼓励本地企业发起设立信用评级和征信机构，打造</w:t>
      </w:r>
      <w:r>
        <w:rPr>
          <w:rFonts w:hint="eastAsia" w:ascii="方正仿宋_GBK" w:hAnsi="Calibri" w:cs="宋体"/>
          <w:kern w:val="0"/>
          <w:szCs w:val="32"/>
        </w:rPr>
        <w:t>“融智+融信+融资”三融之都</w:t>
      </w:r>
      <w:r>
        <w:rPr>
          <w:rFonts w:ascii="方正仿宋_GBK" w:hAnsi="Calibri" w:cs="宋体"/>
          <w:kern w:val="0"/>
          <w:szCs w:val="32"/>
        </w:rPr>
        <w:t>。着力发展金融中介服务实体，吸引律师事务所、会计师事务所、评估机构、资信管理公司、保险代理、人才机构、专业培训机构等金融市场专业服务机构入驻，不断提高金融市场中介服务机构的专业水准和服务水平。完善金融中介服务业监管体制和模式，支持与金融相关的资信服务、会计审计、法律服务、资产评估、资金和保险经纪等专业服务机构规范发展，鼓励发展金融数据处理、金融软件开发、客户服务等服务外包业务。支持金融专业服务机构创新经营模式和服务业态，开展多元化经营。</w:t>
      </w:r>
    </w:p>
    <w:p>
      <w:pPr>
        <w:widowControl w:val="0"/>
        <w:snapToGrid w:val="0"/>
        <w:spacing w:line="276" w:lineRule="auto"/>
        <w:ind w:firstLine="640" w:firstLineChars="200"/>
        <w:rPr>
          <w:rFonts w:hint="eastAsia" w:ascii="方正仿宋_GBK" w:hAnsi="Calibri" w:cs="宋体"/>
          <w:kern w:val="0"/>
          <w:szCs w:val="32"/>
        </w:rPr>
      </w:pPr>
    </w:p>
    <w:p>
      <w:pPr>
        <w:widowControl w:val="0"/>
        <w:snapToGrid w:val="0"/>
        <w:spacing w:before="0" w:after="0" w:line="276" w:lineRule="auto"/>
        <w:jc w:val="center"/>
        <w:rPr>
          <w:rFonts w:ascii="方正黑体_GBK" w:hAnsi="Calibri" w:eastAsia="方正黑体_GBK" w:cs="宋体"/>
          <w:kern w:val="0"/>
          <w:szCs w:val="32"/>
        </w:rPr>
      </w:pPr>
      <w:r>
        <w:rPr>
          <w:rFonts w:hint="eastAsia" w:ascii="方正黑体_GBK" w:hAnsi="Calibri" w:eastAsia="方正黑体_GBK" w:cs="宋体"/>
          <w:kern w:val="0"/>
          <w:szCs w:val="32"/>
        </w:rPr>
        <w:t>第二节  强化金融功能体系</w:t>
      </w:r>
    </w:p>
    <w:p>
      <w:pPr>
        <w:widowControl w:val="0"/>
        <w:snapToGrid w:val="0"/>
        <w:spacing w:line="276" w:lineRule="auto"/>
        <w:ind w:firstLine="640"/>
        <w:rPr>
          <w:rFonts w:ascii="方正仿宋_GBK" w:hAnsi="Calibri" w:cs="宋体"/>
          <w:kern w:val="0"/>
          <w:szCs w:val="32"/>
        </w:rPr>
      </w:pPr>
    </w:p>
    <w:p>
      <w:pPr>
        <w:widowControl w:val="0"/>
        <w:snapToGrid w:val="0"/>
        <w:spacing w:line="276" w:lineRule="auto"/>
        <w:ind w:firstLine="640"/>
        <w:rPr>
          <w:rFonts w:hint="eastAsia" w:ascii="方正仿宋_GBK" w:hAnsi="Calibri" w:cs="宋体"/>
          <w:kern w:val="0"/>
          <w:szCs w:val="32"/>
        </w:rPr>
      </w:pPr>
      <w:r>
        <w:rPr>
          <w:rFonts w:ascii="方正仿宋_GBK" w:hAnsi="Calibri" w:cs="宋体"/>
          <w:kern w:val="0"/>
          <w:szCs w:val="32"/>
        </w:rPr>
        <w:t>立足提升金融市场的资金融通、支付结算、保险保障三大核心功能，提高永川区金融业整体运行效能，促进周边区域经济社会提质增效升级。</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一、强化资金融通功能</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大力发展直接融资，提高直接融资比重。扩大资本市场直接融资规模，进一步完善企业上市储备机制和激励政策。鼓励企业在境内外多层次资本市场上市、挂牌，不断提升永川区的资产证券化水平，尽快实现主板上市零的突破。鼓励区内处于不同发展阶段的企业通过主板、科创板、中小板、创业板、新三板等获得融资支持。发挥债券融资渠道作用，提高企业融资效率。支持企业通过银行间债券市场、交易所市场等发行债务融资工具，支持符合条件的企业发行项目收益债、永续债、短期融资券、中期票据及其他企业债券获得融资。多渠道推动股权融资。大力引进种子基金、天使基金、风险投资基金及私募股权基金等投资基金。到2025年末，永川区债券、股票等直接融资占比</w:t>
      </w:r>
      <w:r>
        <w:rPr>
          <w:rFonts w:hint="eastAsia" w:ascii="方正仿宋_GBK" w:hAnsi="Calibri" w:cs="宋体"/>
          <w:kern w:val="0"/>
          <w:szCs w:val="32"/>
        </w:rPr>
        <w:t>大幅提升</w:t>
      </w:r>
      <w:r>
        <w:rPr>
          <w:rFonts w:ascii="方正仿宋_GBK" w:hAnsi="Calibri" w:cs="宋体"/>
          <w:kern w:val="0"/>
          <w:szCs w:val="32"/>
        </w:rPr>
        <w:t>，资产证券化率提升至</w:t>
      </w:r>
      <w:r>
        <w:rPr>
          <w:rFonts w:hint="eastAsia" w:ascii="方正仿宋_GBK" w:hAnsi="Calibri" w:cs="宋体"/>
          <w:kern w:val="0"/>
          <w:szCs w:val="32"/>
        </w:rPr>
        <w:t>55</w:t>
      </w:r>
      <w:r>
        <w:rPr>
          <w:rFonts w:ascii="方正仿宋_GBK" w:hAnsi="Calibri" w:cs="宋体"/>
          <w:kern w:val="0"/>
          <w:szCs w:val="32"/>
        </w:rPr>
        <w:t>%</w:t>
      </w:r>
      <w:r>
        <w:rPr>
          <w:rFonts w:hint="eastAsia" w:ascii="方正仿宋_GBK" w:hAnsi="Calibri" w:cs="宋体"/>
          <w:kern w:val="0"/>
          <w:szCs w:val="32"/>
        </w:rPr>
        <w:t>。</w:t>
      </w:r>
    </w:p>
    <w:tbl>
      <w:tblPr>
        <w:tblStyle w:val="7"/>
        <w:tblW w:w="8959" w:type="dxa"/>
        <w:jc w:val="center"/>
        <w:tblLayout w:type="fixed"/>
        <w:tblCellMar>
          <w:top w:w="0" w:type="dxa"/>
          <w:left w:w="108" w:type="dxa"/>
          <w:bottom w:w="0" w:type="dxa"/>
          <w:right w:w="108" w:type="dxa"/>
        </w:tblCellMar>
      </w:tblPr>
      <w:tblGrid>
        <w:gridCol w:w="8959"/>
      </w:tblGrid>
      <w:tr>
        <w:tblPrEx>
          <w:tblCellMar>
            <w:top w:w="0" w:type="dxa"/>
            <w:left w:w="108" w:type="dxa"/>
            <w:bottom w:w="0" w:type="dxa"/>
            <w:right w:w="108" w:type="dxa"/>
          </w:tblCellMar>
        </w:tblPrEx>
        <w:trPr>
          <w:trHeight w:val="0" w:hRule="atLeast"/>
          <w:jc w:val="center"/>
        </w:trPr>
        <w:tc>
          <w:tcPr>
            <w:tcW w:w="8959"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ind w:firstLine="560"/>
              <w:jc w:val="center"/>
              <w:rPr>
                <w:rFonts w:ascii="方正黑体_GBK" w:hAnsi="Calibri" w:eastAsia="方正黑体_GBK" w:cs="宋体"/>
                <w:kern w:val="0"/>
                <w:sz w:val="24"/>
                <w:szCs w:val="24"/>
              </w:rPr>
            </w:pPr>
            <w:r>
              <w:rPr>
                <w:rFonts w:hint="eastAsia" w:ascii="方正黑体_GBK" w:hAnsi="Calibri" w:eastAsia="方正黑体_GBK" w:cs="宋体"/>
                <w:kern w:val="0"/>
                <w:sz w:val="24"/>
                <w:szCs w:val="24"/>
              </w:rPr>
              <w:t>专栏7：“十四五”时期永川区企业上市激励政策</w:t>
            </w:r>
          </w:p>
        </w:tc>
      </w:tr>
      <w:tr>
        <w:tblPrEx>
          <w:tblCellMar>
            <w:top w:w="0" w:type="dxa"/>
            <w:left w:w="108" w:type="dxa"/>
            <w:bottom w:w="0" w:type="dxa"/>
            <w:right w:w="108" w:type="dxa"/>
          </w:tblCellMar>
        </w:tblPrEx>
        <w:trPr>
          <w:trHeight w:val="0" w:hRule="atLeast"/>
          <w:jc w:val="center"/>
        </w:trPr>
        <w:tc>
          <w:tcPr>
            <w:tcW w:w="8959"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rPr>
                <w:rFonts w:ascii="方正仿宋_GBK"/>
                <w:kern w:val="0"/>
                <w:sz w:val="24"/>
                <w:szCs w:val="24"/>
              </w:rPr>
            </w:pPr>
            <w:r>
              <w:rPr>
                <w:rFonts w:hint="eastAsia" w:ascii="方正仿宋_GBK"/>
                <w:kern w:val="0"/>
                <w:sz w:val="24"/>
                <w:szCs w:val="24"/>
              </w:rPr>
              <w:t xml:space="preserve">    </w:t>
            </w:r>
            <w:r>
              <w:rPr>
                <w:rFonts w:ascii="方正仿宋_GBK"/>
                <w:kern w:val="0"/>
                <w:sz w:val="24"/>
                <w:szCs w:val="24"/>
              </w:rPr>
              <w:t>入库企业上市可享受奖补政策：1.企业完成股改并完成市场主体登记注册的，给予50万元奖励；2.在重庆股份转让中心OTC科创板、成长板成功上市的企业，分别给予5万元、25万元的奖励；3.</w:t>
            </w:r>
            <w:r>
              <w:rPr>
                <w:rFonts w:hint="eastAsia" w:ascii="方正仿宋_GBK"/>
                <w:kern w:val="0"/>
                <w:sz w:val="24"/>
                <w:szCs w:val="24"/>
              </w:rPr>
              <w:t>在“新三板”成</w:t>
            </w:r>
            <w:r>
              <w:rPr>
                <w:rFonts w:ascii="方正仿宋_GBK"/>
                <w:kern w:val="0"/>
                <w:sz w:val="24"/>
                <w:szCs w:val="24"/>
              </w:rPr>
              <w:t>功上市的企业，分阶段给予200万元奖励；4.在境内首发公开上市的企业，分阶段给予500万元奖励；5.在境外主要交易所上市的企业，给予500万元奖励；6.通过在境外设立分支公司在以上境外交易市场上市，且将境外融资用于区内总部企业发展的，给予400万元奖励。</w:t>
            </w:r>
          </w:p>
          <w:p>
            <w:pPr>
              <w:widowControl w:val="0"/>
              <w:snapToGrid w:val="0"/>
              <w:spacing w:line="240" w:lineRule="auto"/>
              <w:rPr>
                <w:rFonts w:ascii="方正黑体_GBK" w:hAnsi="Calibri" w:eastAsia="方正黑体_GBK" w:cs="宋体"/>
                <w:kern w:val="0"/>
                <w:sz w:val="24"/>
                <w:szCs w:val="24"/>
              </w:rPr>
            </w:pPr>
            <w:r>
              <w:rPr>
                <w:rFonts w:hint="eastAsia" w:ascii="方正仿宋_GBK"/>
                <w:kern w:val="0"/>
                <w:sz w:val="24"/>
                <w:szCs w:val="24"/>
              </w:rPr>
              <w:t xml:space="preserve">    </w:t>
            </w:r>
            <w:r>
              <w:rPr>
                <w:rFonts w:ascii="方正仿宋_GBK"/>
                <w:kern w:val="0"/>
                <w:sz w:val="24"/>
                <w:szCs w:val="24"/>
              </w:rPr>
              <w:t>入库企业培育期及上市后可享受以下奖补政策：1.企业改制相关税费，在股改完成并变更注册后，给予企业区级留成等额资金扶持；2.企业改制后，上缴的企业所得税、高级管理人员缴纳的个人所得税，比上年增长增量部分，给予企业区级留成等额资金扶持；3.对上市企业再融资80%用于本区的，按融资额的1%给予奖励；4.鼓励企业发行企业债、公司债、短期融资债券和中期票据，对募集资金1亿元（含）以上且投资到区内的，按每单融资额0.5%给予奖励；5.对各类担保机构为储备库企业发行债券1亿元（含）以上提供增信的，担保费率不高于2%的，按融资额的0.5%给予奖励。</w:t>
            </w:r>
          </w:p>
        </w:tc>
      </w:tr>
    </w:tbl>
    <w:p>
      <w:pPr>
        <w:widowControl w:val="0"/>
        <w:snapToGrid w:val="0"/>
        <w:spacing w:line="276" w:lineRule="auto"/>
        <w:ind w:firstLine="640"/>
        <w:rPr>
          <w:rFonts w:ascii="方正仿宋_GBK" w:hAnsi="Calibri" w:cs="宋体"/>
          <w:kern w:val="0"/>
          <w:szCs w:val="32"/>
        </w:rPr>
      </w:pPr>
      <w:r>
        <w:rPr>
          <w:rFonts w:ascii="方正仿宋_GBK" w:hAnsi="Calibri" w:cs="宋体"/>
          <w:kern w:val="0"/>
          <w:szCs w:val="32"/>
        </w:rPr>
        <w:t>畅通间接融资渠道。加大银企对接力度，引导农业银行永川支行、重庆农商行永川支行、重庆银行永川支行、永川北银村镇银行等银行机构优化信贷结构，保持信贷合理稳定增长。引导银行业金融机构规范开展表外融资业务，综合运用理财、资管资金为实体企业服务。完善贷款担保机制和中小企业融资担保体系，支持银行业金融机构开展知识产权、农村产权、动产、股权、应收账款等抵质押融资，进一步畅通中小企业融资渠道。支持银行、小额贷款公司与创投基金合作开展投贷联动，支持创业创新。引导小额贷款公司等各类新型金融机构发挥比较优势、明确市场定位，实现与传统金融机构的错位竞争，支持实体经济。推动金融机构、中介机构规范服务收费，降低企业融资成</w:t>
      </w:r>
      <w:r>
        <w:rPr>
          <w:rFonts w:hint="eastAsia" w:ascii="方正仿宋_GBK" w:hAnsi="Calibri" w:cs="宋体"/>
          <w:kern w:val="0"/>
          <w:szCs w:val="32"/>
        </w:rPr>
        <w:t>本。“十四五”期</w:t>
      </w:r>
      <w:r>
        <w:rPr>
          <w:rFonts w:ascii="方正仿宋_GBK" w:hAnsi="Calibri" w:cs="宋体"/>
          <w:kern w:val="0"/>
          <w:szCs w:val="32"/>
        </w:rPr>
        <w:t>间，永川区力争成为全国开展财政支持深化民营和小微企业金融服务综合改革试点城市。</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二、强化支付结算功能</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支持金融机构整合优化跨境结算账户，建立有助于促进贸易与投资便利化、本外币统一规则的结算账户体系。加强与市级有关部门沟通配合，探索创新跨境结算管理便利化措施，支持适应内陆加工贸易、保税贸易、转口贸易等多种贸易业态的结算创新，支持开展适应永川区及全市加工贸易、转口贸易等多种贸易业态的结算便利化试点。探索与装修建材、酒店用品、茶叶交易、盆景展示交易等要素市场跨境交易相适应的外汇收支便利化措施。强化与泸州、内江、自贡等四川省毗邻地区的跨区域支付结算，融入成渝地区双城经济圈建设合作框架。开展国际结算业务，支持更多跨国公司在永设立跨境或跨区域资金运营和结算中心。到2025年末，落户1家以上跨境或跨区域资金运营和结算中心。</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加强交易及支付平台建设。对符合条件的第三方支付持牌企业来区落户给予资金扶持。加快推进永川软件园、电商产业园建设，支持阿里巴巴全球人工智能交付中心、阿里巴巴LBS、重庆智考信息技术等平台不断提升业务能级，提升核心技术水平和综合竞争力，扩大交易支付结算规模。支持区外第三方支付机构与区内金融机构共同搭建平台，开展在线支付、跨境支付、移动支付等业务。鼓励第三方支付企业拓展行业应用，积极发展跨境电子商务和网络零售结算业务。充分发挥农村电商站、工业品网销基地等互联网交易平台，建立产品网络销售和支付平台。</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三、强化保险保障功能</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健全保险市场组织机构。发展区域性保险总部，引进境内外保险集团在永设立区域总部及各类分支机构，支持组建区域性的保险集团公司和专业保险资产管理公司。支持设立内外资再保险、外资健康保险、国际多式联运物流专业保险等机构。鼓励设立保险资产管理公司、自保公司、相互制保险机构等新型保险组织。加强与市级层面对接，争取成为区域性再保险中心，促进成渝地区的再保险业务、机构、技术等向永川区汇集。鼓励企业参与建设基于物联网、车联网的保险产品研发创新平台。</w:t>
      </w:r>
    </w:p>
    <w:p>
      <w:pPr>
        <w:widowControl w:val="0"/>
        <w:snapToGrid w:val="0"/>
        <w:spacing w:line="276" w:lineRule="auto"/>
        <w:ind w:firstLine="640" w:firstLineChars="200"/>
        <w:rPr>
          <w:rFonts w:ascii="方正仿宋_GBK" w:hAnsi="Calibri" w:cs="宋体"/>
          <w:kern w:val="0"/>
          <w:szCs w:val="32"/>
          <w:u w:val="none"/>
        </w:rPr>
      </w:pPr>
      <w:r>
        <w:rPr>
          <w:rFonts w:ascii="方正仿宋_GBK" w:hAnsi="Calibri" w:cs="宋体"/>
          <w:kern w:val="0"/>
          <w:szCs w:val="32"/>
        </w:rPr>
        <w:t>强化保险社会治理作用。</w:t>
      </w:r>
      <w:r>
        <w:rPr>
          <w:rFonts w:hint="eastAsia" w:ascii="方正仿宋_GBK" w:hAnsi="Calibri" w:cs="宋体"/>
          <w:kern w:val="0"/>
          <w:szCs w:val="32"/>
        </w:rPr>
        <w:t>充分发挥保险业在服务地方治理、构筑民生保障网络方面的功能作用，鼓励保险产品、服务、模式创新。依托</w:t>
      </w:r>
      <w:r>
        <w:rPr>
          <w:rFonts w:ascii="方正仿宋_GBK" w:hAnsi="Calibri" w:cs="宋体"/>
          <w:kern w:val="0"/>
          <w:szCs w:val="32"/>
        </w:rPr>
        <w:t>西部特色产业区、东南部现代农业区、东北部生态产业区</w:t>
      </w:r>
      <w:r>
        <w:rPr>
          <w:rFonts w:hint="eastAsia" w:ascii="方正仿宋_GBK" w:hAnsi="Calibri" w:cs="宋体"/>
          <w:kern w:val="0"/>
          <w:szCs w:val="32"/>
        </w:rPr>
        <w:t>的特色农业园区，以农作物保险、主要畜产品保险、重要“菜篮子”品种</w:t>
      </w:r>
      <w:r>
        <w:rPr>
          <w:rFonts w:ascii="方正仿宋_GBK" w:hAnsi="Calibri" w:cs="宋体"/>
          <w:kern w:val="0"/>
          <w:szCs w:val="32"/>
        </w:rPr>
        <w:t>保险和森林保险为重点，大</w:t>
      </w:r>
      <w:r>
        <w:rPr>
          <w:rFonts w:hint="eastAsia" w:ascii="方正仿宋_GBK" w:hAnsi="Calibri" w:cs="宋体"/>
          <w:kern w:val="0"/>
          <w:szCs w:val="32"/>
        </w:rPr>
        <w:t>力发展“三农”保险。强化政府引导、市场运作、立法保障的责任保险模式，加快建立多层次的巨灾保险体系，加强在医疗责任、环境污染、食品安全等重点领域的</w:t>
      </w:r>
      <w:r>
        <w:rPr>
          <w:rFonts w:ascii="方正仿宋_GBK" w:hAnsi="Calibri" w:cs="宋体"/>
          <w:kern w:val="0"/>
          <w:szCs w:val="32"/>
        </w:rPr>
        <w:t>推进力度。促进保险机构参与社会养老服务、社会健康</w:t>
      </w:r>
      <w:r>
        <w:rPr>
          <w:rFonts w:ascii="方正仿宋_GBK" w:hAnsi="Calibri" w:cs="宋体"/>
          <w:kern w:val="0"/>
          <w:szCs w:val="32"/>
          <w:u w:val="none"/>
        </w:rPr>
        <w:t>管理及各类医疗保险，满足差异化的社会保障需求。</w:t>
      </w:r>
    </w:p>
    <w:p>
      <w:pPr>
        <w:widowControl w:val="0"/>
        <w:snapToGrid w:val="0"/>
        <w:spacing w:line="276" w:lineRule="auto"/>
        <w:ind w:firstLine="640" w:firstLineChars="200"/>
        <w:rPr>
          <w:rFonts w:ascii="方正仿宋_GBK" w:hAnsi="Calibri" w:cs="宋体"/>
          <w:kern w:val="0"/>
          <w:szCs w:val="32"/>
          <w:u w:val="none"/>
        </w:rPr>
      </w:pPr>
      <w:r>
        <w:rPr>
          <w:rFonts w:hint="eastAsia" w:ascii="方正仿宋_GBK" w:hAnsi="Calibri" w:cs="宋体"/>
          <w:kern w:val="0"/>
          <w:szCs w:val="32"/>
          <w:u w:val="none"/>
        </w:rPr>
        <w:t>提高保险资金运用效率。加大与保险资管总部机构对接力度，适时引入保险资管机构或子公司。积极引入不动产、基础设施、养老等专业保险资管机构，鼓励保险机构来永设立保险私募基金。强化保险资管产品与凤凰湖基金公园、科创基金等区内基金的合作。扩大保险资金投资金融产品范围。制定保险资金投资永川的优惠政策，积极引导保险资管产品投资方向，丰富债权投资计划、股权投资计划及组合类产品，引导保险资金投向基础设施建设、企业生产经营等领域。推进保险资金支农融资试点，支持人保财险等在区保险机构开展支农融资业务，利用保险资金直投农业、农村项目，力争2025年末保险资金运用达2亿元；支持农业银行等在区银行金融机构开展涉农保险保单等抵（质）押贷款，拓宽农业生产经营主体、贫困户等生产融资渠道。</w:t>
      </w:r>
    </w:p>
    <w:p>
      <w:pPr>
        <w:widowControl w:val="0"/>
        <w:snapToGrid w:val="0"/>
        <w:spacing w:line="276" w:lineRule="auto"/>
        <w:ind w:firstLine="640" w:firstLineChars="200"/>
        <w:rPr>
          <w:rFonts w:hint="eastAsia" w:ascii="方正仿宋_GBK" w:hAnsi="Calibri" w:cs="宋体"/>
          <w:kern w:val="0"/>
          <w:szCs w:val="32"/>
          <w:u w:val="none"/>
        </w:rPr>
      </w:pPr>
      <w:r>
        <w:rPr>
          <w:rFonts w:hint="eastAsia" w:ascii="方正仿宋_GBK" w:hAnsi="Calibri" w:cs="宋体"/>
          <w:kern w:val="0"/>
          <w:szCs w:val="32"/>
          <w:u w:val="none"/>
        </w:rPr>
        <w:t>“十四五”时期，永川区</w:t>
      </w:r>
      <w:r>
        <w:rPr>
          <w:rFonts w:ascii="方正仿宋_GBK" w:hAnsi="Calibri" w:cs="宋体"/>
          <w:kern w:val="0"/>
          <w:szCs w:val="32"/>
          <w:u w:val="none"/>
        </w:rPr>
        <w:t>保险业原保费收入将保持10%的较高年均增长速度，到2025年末，全区保险业年保费收入超100亿元，保险密度、保险深度均达全市领先水平，分别达8500元/人和7%</w:t>
      </w:r>
      <w:r>
        <w:rPr>
          <w:rFonts w:hint="eastAsia" w:ascii="方正仿宋_GBK" w:hAnsi="Calibri" w:cs="宋体"/>
          <w:kern w:val="0"/>
          <w:szCs w:val="32"/>
          <w:u w:val="none"/>
        </w:rPr>
        <w:t>；基本建成保险资金投资项目库，力争保险资金投资运用达2亿元，将永川区建设成为保险资金运用示范城市。</w:t>
      </w:r>
    </w:p>
    <w:p>
      <w:pPr>
        <w:widowControl w:val="0"/>
        <w:snapToGrid w:val="0"/>
        <w:spacing w:line="276" w:lineRule="auto"/>
        <w:ind w:firstLine="640" w:firstLineChars="200"/>
        <w:rPr>
          <w:rFonts w:hint="eastAsia" w:ascii="方正仿宋_GBK" w:hAnsi="Calibri" w:cs="宋体"/>
          <w:kern w:val="0"/>
          <w:szCs w:val="32"/>
          <w:u w:val="none"/>
        </w:rPr>
      </w:pPr>
    </w:p>
    <w:p>
      <w:pPr>
        <w:widowControl w:val="0"/>
        <w:snapToGrid w:val="0"/>
        <w:spacing w:before="0" w:after="0" w:line="276" w:lineRule="auto"/>
        <w:jc w:val="center"/>
        <w:rPr>
          <w:rFonts w:ascii="方正黑体_GBK" w:hAnsi="Calibri" w:eastAsia="方正黑体_GBK" w:cs="宋体"/>
          <w:kern w:val="0"/>
          <w:szCs w:val="32"/>
        </w:rPr>
      </w:pPr>
      <w:r>
        <w:rPr>
          <w:rFonts w:hint="eastAsia" w:ascii="方正黑体_GBK" w:hAnsi="Calibri" w:eastAsia="方正黑体_GBK" w:cs="宋体"/>
          <w:kern w:val="0"/>
          <w:szCs w:val="32"/>
        </w:rPr>
        <w:t>第三节  优化金融服务体系</w:t>
      </w:r>
    </w:p>
    <w:p>
      <w:pPr>
        <w:widowControl w:val="0"/>
        <w:snapToGrid w:val="0"/>
        <w:spacing w:line="276" w:lineRule="auto"/>
        <w:ind w:firstLine="640" w:firstLineChars="200"/>
        <w:rPr>
          <w:rFonts w:ascii="方正仿宋_GBK" w:hAnsi="Calibri" w:cs="宋体"/>
          <w:kern w:val="0"/>
          <w:szCs w:val="32"/>
        </w:rPr>
      </w:pPr>
    </w:p>
    <w:p>
      <w:pPr>
        <w:widowControl w:val="0"/>
        <w:snapToGrid w:val="0"/>
        <w:spacing w:before="0" w:line="276" w:lineRule="auto"/>
        <w:ind w:firstLine="640" w:firstLineChars="200"/>
        <w:rPr>
          <w:rFonts w:hint="eastAsia" w:ascii="方正黑体_GBK" w:hAnsi="Calibri" w:eastAsia="方正黑体_GBK" w:cs="宋体"/>
          <w:kern w:val="0"/>
          <w:szCs w:val="32"/>
        </w:rPr>
      </w:pPr>
      <w:r>
        <w:rPr>
          <w:rFonts w:ascii="方正仿宋_GBK" w:hAnsi="Calibri" w:cs="宋体"/>
          <w:kern w:val="0"/>
          <w:szCs w:val="32"/>
        </w:rPr>
        <w:t>培育与永川区金融业匹配的配套服务体系，做优金融后台服务，做精专业平台服务，做强金融人才服务，为永川区金融业发展提供服务支持。</w:t>
      </w:r>
    </w:p>
    <w:p>
      <w:pPr>
        <w:widowControl w:val="0"/>
        <w:snapToGrid w:val="0"/>
        <w:spacing w:before="0" w:line="276" w:lineRule="auto"/>
        <w:ind w:firstLine="640" w:firstLineChars="200"/>
        <w:rPr>
          <w:rFonts w:ascii="方正黑体_GBK" w:hAnsi="Calibri" w:eastAsia="方正黑体_GBK" w:cs="宋体"/>
          <w:kern w:val="0"/>
          <w:szCs w:val="32"/>
        </w:rPr>
      </w:pPr>
      <w:r>
        <w:rPr>
          <w:rFonts w:hint="eastAsia" w:ascii="方正黑体_GBK" w:hAnsi="Calibri" w:eastAsia="方正黑体_GBK" w:cs="宋体"/>
          <w:kern w:val="0"/>
          <w:szCs w:val="32"/>
        </w:rPr>
        <w:t>一、做优金融后台服务</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完善金融后台综合服务。依托永川信息服务园，重点扶持发展金融后台服务机构，加大与人民银行在永分支机构协作，拓展金融产业链，完善金融后援现金中心、结算中心、灾备中心、数据处理中心、银行卡中心、研发中心、呼叫中心等后台服务机构，拓展金融后台服务功能。依托永川大数据产业园的呼叫外包服务，发展金融服务外包产业链，鼓励山东泰盈西南总部、香港电讯盈科、易法通等BPO企业培育金融客户服务、现金押运服务、呼叫服务、数据处理、软件设计等服务，为金融业发展提供良好的社会服务支持。支持开展金融客户服务、金融资讯信息服务、金融软件开发维护、金融科技人才培训等服务，为金融科技机构发展提供优质的后台服务环境。到2025年，建成金融服务外包示范区。</w:t>
      </w:r>
    </w:p>
    <w:tbl>
      <w:tblPr>
        <w:tblStyle w:val="7"/>
        <w:tblW w:w="9072" w:type="dxa"/>
        <w:jc w:val="center"/>
        <w:tblLayout w:type="fixed"/>
        <w:tblCellMar>
          <w:top w:w="0" w:type="dxa"/>
          <w:left w:w="108" w:type="dxa"/>
          <w:bottom w:w="0" w:type="dxa"/>
          <w:right w:w="108" w:type="dxa"/>
        </w:tblCellMar>
      </w:tblPr>
      <w:tblGrid>
        <w:gridCol w:w="9072"/>
      </w:tblGrid>
      <w:tr>
        <w:tblPrEx>
          <w:tblCellMar>
            <w:top w:w="0" w:type="dxa"/>
            <w:left w:w="108" w:type="dxa"/>
            <w:bottom w:w="0" w:type="dxa"/>
            <w:right w:w="108" w:type="dxa"/>
          </w:tblCellMar>
        </w:tblPrEx>
        <w:trPr>
          <w:trHeight w:val="0" w:hRule="atLeast"/>
          <w:jc w:val="center"/>
        </w:trPr>
        <w:tc>
          <w:tcPr>
            <w:tcW w:w="9072"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76" w:lineRule="auto"/>
              <w:jc w:val="center"/>
              <w:rPr>
                <w:rFonts w:ascii="方正黑体_GBK" w:hAnsi="Calibri" w:eastAsia="方正黑体_GBK" w:cs="宋体"/>
                <w:kern w:val="0"/>
                <w:sz w:val="24"/>
                <w:szCs w:val="24"/>
              </w:rPr>
            </w:pPr>
            <w:r>
              <w:rPr>
                <w:rFonts w:hint="eastAsia" w:ascii="方正黑体_GBK" w:hAnsi="Calibri" w:eastAsia="方正黑体_GBK" w:cs="宋体"/>
                <w:kern w:val="0"/>
                <w:sz w:val="24"/>
                <w:szCs w:val="24"/>
              </w:rPr>
              <w:t>专栏8：永川区服务外包产业基础</w:t>
            </w:r>
          </w:p>
        </w:tc>
      </w:tr>
      <w:tr>
        <w:tblPrEx>
          <w:tblCellMar>
            <w:top w:w="0" w:type="dxa"/>
            <w:left w:w="108" w:type="dxa"/>
            <w:bottom w:w="0" w:type="dxa"/>
            <w:right w:w="108" w:type="dxa"/>
          </w:tblCellMar>
        </w:tblPrEx>
        <w:trPr>
          <w:trHeight w:val="0" w:hRule="atLeast"/>
          <w:jc w:val="center"/>
        </w:trPr>
        <w:tc>
          <w:tcPr>
            <w:tcW w:w="9072"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76" w:lineRule="auto"/>
              <w:rPr>
                <w:rFonts w:eastAsia="宋体"/>
                <w:kern w:val="0"/>
                <w:sz w:val="24"/>
                <w:szCs w:val="24"/>
              </w:rPr>
            </w:pPr>
            <w:r>
              <w:rPr>
                <w:rFonts w:hint="eastAsia" w:ascii="方正仿宋_GBK"/>
                <w:kern w:val="0"/>
                <w:sz w:val="24"/>
                <w:szCs w:val="24"/>
              </w:rPr>
              <w:t xml:space="preserve">    </w:t>
            </w:r>
            <w:r>
              <w:rPr>
                <w:rFonts w:ascii="方正仿宋_GBK"/>
                <w:kern w:val="0"/>
                <w:sz w:val="24"/>
                <w:szCs w:val="24"/>
              </w:rPr>
              <w:t>永川区传统服务外包产业现已引进和培育发展山东泰盈西南总部、携程网海外客服中心、香港电讯盈科、知道创字、文德数慧、易法通、帮考网等BPO企业50余家，建成呼叫中心坐席8000个，业务覆盖全球100多个国家，年受理各类订单9.8亿单、完成营业额60亿元。服务外包产业发展模式也从发展之初</w:t>
            </w:r>
            <w:r>
              <w:rPr>
                <w:rFonts w:hint="eastAsia" w:ascii="方正仿宋_GBK"/>
                <w:kern w:val="0"/>
                <w:sz w:val="24"/>
                <w:szCs w:val="24"/>
              </w:rPr>
              <w:t>的“呼叫中心”向“智能客服、数据服务、高附加值业务”成</w:t>
            </w:r>
            <w:r>
              <w:rPr>
                <w:rFonts w:ascii="方正仿宋_GBK"/>
                <w:kern w:val="0"/>
                <w:sz w:val="24"/>
                <w:szCs w:val="24"/>
              </w:rPr>
              <w:t>功转型，长期为腾讯、中国移动、建设银行等世界500强企业提供全球业务流程外包解决方案，逐步形成涉及行业广、承接能力强的国际性服务外包交付中心。</w:t>
            </w:r>
          </w:p>
        </w:tc>
      </w:tr>
    </w:tbl>
    <w:p>
      <w:pPr>
        <w:widowControl w:val="0"/>
        <w:snapToGrid w:val="0"/>
        <w:spacing w:before="0"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二、做精专业平台服务</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提供综合资讯平台服务。创</w:t>
      </w:r>
      <w:r>
        <w:rPr>
          <w:rFonts w:hint="eastAsia" w:ascii="方正仿宋_GBK" w:hAnsi="Calibri" w:cs="宋体"/>
          <w:kern w:val="0"/>
          <w:szCs w:val="32"/>
        </w:rPr>
        <w:t>设“永川金融网上服务平台”，</w:t>
      </w:r>
      <w:r>
        <w:rPr>
          <w:rFonts w:ascii="方正仿宋_GBK" w:hAnsi="Calibri" w:cs="宋体"/>
          <w:kern w:val="0"/>
          <w:szCs w:val="32"/>
        </w:rPr>
        <w:t>汇集永川金融政策、信贷需求、信贷产品、财经资讯、指数评级等信息，开展线上业务办理服务。整合企业及行业信息渠道，搭建单一窗口的信息和资讯出入平台，通过PC及移动终端，提升营商环境透明度，降低信息不对称程度。研究制定能够反映区域金融特点的行业统计数据或指数，明确基础数据报送口径与权威发布途径。到2025年，服务平台将基本实现区内金融机构和企业全覆盖；到2035年，平台辐射和影响范围将拓展至</w:t>
      </w:r>
      <w:r>
        <w:rPr>
          <w:rFonts w:hint="eastAsia" w:ascii="方正仿宋_GBK" w:hAnsi="Calibri" w:cs="宋体"/>
          <w:kern w:val="0"/>
          <w:szCs w:val="32"/>
        </w:rPr>
        <w:t>成渝地区双城经济圈</w:t>
      </w:r>
      <w:r>
        <w:rPr>
          <w:rFonts w:ascii="方正仿宋_GBK" w:hAnsi="Calibri" w:cs="宋体"/>
          <w:kern w:val="0"/>
          <w:szCs w:val="32"/>
        </w:rPr>
        <w:t>主要市区。</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拓展专家顾问平台服务。积极引进国际性、全国性、区域性或市级行业盛会。组建金融专家顾问团，举办年度性、区域性金融盛会，提供融智服务。每年召开一次专家顾问团年会。建立区域性峰会、论坛，联合周边区县，以及泸州、内江等毗邻市，每两年召开一次区域性金融峰会，共商金融发展。强化在永行业协会与市级相关协会及其他各类社会组织的交流合作，持续开办区域内金融行业评选或行业交流，举办标志性、有影响力的金融论坛、年会、沙龙、展会等活动品牌，树立永川良好对外形象，助力永川招商引资成效显著提升。</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完善财经传媒平台服务。利用现代传媒手段打造金融服务平台，进一步</w:t>
      </w:r>
      <w:r>
        <w:rPr>
          <w:rFonts w:hint="eastAsia" w:ascii="方正仿宋_GBK" w:hAnsi="Calibri" w:cs="宋体"/>
          <w:kern w:val="0"/>
          <w:szCs w:val="32"/>
        </w:rPr>
        <w:t>升级“永川金融”微信</w:t>
      </w:r>
      <w:r>
        <w:rPr>
          <w:rFonts w:ascii="方正仿宋_GBK" w:hAnsi="Calibri" w:cs="宋体"/>
          <w:kern w:val="0"/>
          <w:szCs w:val="32"/>
        </w:rPr>
        <w:t>公众号，扩大其朋友圈和关注度，增强其影响力。创办《永川金融》刊物，展示永川金融业发展成果，打造永川区对外形象展示平台。加强与市内外财经媒体、智库组织合作，搭建文化传播平台，打造对外宣传、形象展示和引进智力支持的金融文化品牌。加强金融、传媒行业联动，主动发布、解读时政，及时回应社会和实时关注金融舆情，营造良好的社会舆论环境。到2025年末，永川区金融IP 渗透率达到</w:t>
      </w:r>
      <w:r>
        <w:rPr>
          <w:rFonts w:hint="eastAsia" w:ascii="方正仿宋_GBK" w:hAnsi="Calibri" w:cs="宋体"/>
          <w:kern w:val="0"/>
          <w:szCs w:val="32"/>
        </w:rPr>
        <w:t>周边</w:t>
      </w:r>
      <w:r>
        <w:rPr>
          <w:rFonts w:ascii="方正仿宋_GBK" w:hAnsi="Calibri" w:cs="宋体"/>
          <w:kern w:val="0"/>
          <w:szCs w:val="32"/>
        </w:rPr>
        <w:t>地区领先、全市前列水平。</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三、做</w:t>
      </w:r>
      <w:r>
        <w:rPr>
          <w:rFonts w:hint="eastAsia" w:ascii="方正黑体_GBK" w:hAnsi="Calibri" w:eastAsia="方正黑体_GBK" w:cs="宋体"/>
          <w:kern w:val="0"/>
          <w:szCs w:val="32"/>
          <w:lang w:val="en-US" w:eastAsia="zh-CN"/>
        </w:rPr>
        <w:t>深</w:t>
      </w:r>
      <w:r>
        <w:rPr>
          <w:rFonts w:hint="eastAsia" w:ascii="方正黑体_GBK" w:hAnsi="Calibri" w:eastAsia="方正黑体_GBK" w:cs="宋体"/>
          <w:kern w:val="0"/>
          <w:szCs w:val="32"/>
        </w:rPr>
        <w:t>金融人才服务</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完善金融人才公共服务。健全金融人才人事代理、社会保险代理、金融机构用工登记、人事档案管理、就业服务等公共服务平台。探索急需紧缺金融人才优先落户制度，加强金融人才的安家保障、分配激励、科研资助、个税优惠、配偶安置、社会保险等服务。强化部门协同，在户籍、医疗保障、配偶随迁、子女入学、住房、出入签证、交通、创业投资、税收等方面为金融人才聚集创造便利条件。</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强化基础金融人才培养。依托在永大中专院校，</w:t>
      </w:r>
      <w:r>
        <w:rPr>
          <w:rFonts w:hint="eastAsia" w:ascii="方正仿宋_GBK" w:hAnsi="Calibri" w:cs="宋体"/>
          <w:kern w:val="0"/>
          <w:szCs w:val="32"/>
        </w:rPr>
        <w:t>建立“一所一基地”的金融人才政校企培养培训模式。支持更多大专院校完善金融专业设置与课程</w:t>
      </w:r>
      <w:r>
        <w:rPr>
          <w:rFonts w:ascii="方正仿宋_GBK" w:hAnsi="Calibri" w:cs="宋体"/>
          <w:kern w:val="0"/>
          <w:szCs w:val="32"/>
        </w:rPr>
        <w:t>体系，鼓励区内院校与市内、国内外知名院校开展金融专业学制教育共建。鼓励各类院校、院所与金融机构合作共建研究院、实验室、实训基地等。</w:t>
      </w:r>
    </w:p>
    <w:tbl>
      <w:tblPr>
        <w:tblStyle w:val="7"/>
        <w:tblW w:w="8959" w:type="dxa"/>
        <w:tblInd w:w="136" w:type="dxa"/>
        <w:tblLayout w:type="fixed"/>
        <w:tblCellMar>
          <w:top w:w="0" w:type="dxa"/>
          <w:left w:w="108" w:type="dxa"/>
          <w:bottom w:w="0" w:type="dxa"/>
          <w:right w:w="108" w:type="dxa"/>
        </w:tblCellMar>
      </w:tblPr>
      <w:tblGrid>
        <w:gridCol w:w="8959"/>
      </w:tblGrid>
      <w:tr>
        <w:tblPrEx>
          <w:tblCellMar>
            <w:top w:w="0" w:type="dxa"/>
            <w:left w:w="108" w:type="dxa"/>
            <w:bottom w:w="0" w:type="dxa"/>
            <w:right w:w="108" w:type="dxa"/>
          </w:tblCellMar>
        </w:tblPrEx>
        <w:trPr>
          <w:trHeight w:val="0" w:hRule="atLeast"/>
        </w:trPr>
        <w:tc>
          <w:tcPr>
            <w:tcW w:w="8959"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方正黑体_GBK" w:hAnsi="Calibri" w:eastAsia="方正黑体_GBK" w:cs="宋体"/>
                <w:kern w:val="0"/>
                <w:sz w:val="24"/>
                <w:szCs w:val="24"/>
              </w:rPr>
            </w:pPr>
            <w:r>
              <w:rPr>
                <w:rFonts w:hint="eastAsia" w:ascii="方正黑体_GBK" w:hAnsi="Calibri" w:eastAsia="方正黑体_GBK" w:cs="宋体"/>
                <w:kern w:val="0"/>
                <w:sz w:val="24"/>
                <w:szCs w:val="24"/>
              </w:rPr>
              <w:t>专栏9：“十四五”时期永川区金融人才“一所一基地”培养体系</w:t>
            </w:r>
          </w:p>
        </w:tc>
      </w:tr>
      <w:tr>
        <w:tblPrEx>
          <w:tblCellMar>
            <w:top w:w="0" w:type="dxa"/>
            <w:left w:w="108" w:type="dxa"/>
            <w:bottom w:w="0" w:type="dxa"/>
            <w:right w:w="108" w:type="dxa"/>
          </w:tblCellMar>
        </w:tblPrEx>
        <w:trPr>
          <w:trHeight w:val="0" w:hRule="atLeast"/>
        </w:trPr>
        <w:tc>
          <w:tcPr>
            <w:tcW w:w="8959" w:type="dxa"/>
            <w:tcBorders>
              <w:top w:val="single" w:color="000000" w:sz="4" w:space="0"/>
              <w:left w:val="single" w:color="000000" w:sz="4" w:space="0"/>
              <w:bottom w:val="single" w:color="000000" w:sz="4" w:space="0"/>
              <w:right w:val="single" w:color="000000" w:sz="4" w:space="0"/>
            </w:tcBorders>
          </w:tcPr>
          <w:p>
            <w:pPr>
              <w:widowControl w:val="0"/>
              <w:snapToGrid w:val="0"/>
              <w:spacing w:line="240" w:lineRule="auto"/>
              <w:rPr>
                <w:rFonts w:ascii="方正仿宋_GBK" w:hAnsi="Calibri" w:cs="宋体"/>
                <w:kern w:val="0"/>
                <w:sz w:val="24"/>
                <w:szCs w:val="24"/>
              </w:rPr>
            </w:pPr>
            <w:r>
              <w:rPr>
                <w:rFonts w:hint="eastAsia" w:ascii="方正仿宋_GBK" w:hAnsi="Calibri" w:cs="宋体"/>
                <w:kern w:val="0"/>
                <w:sz w:val="24"/>
                <w:szCs w:val="24"/>
              </w:rPr>
              <w:t xml:space="preserve">    </w:t>
            </w:r>
            <w:r>
              <w:rPr>
                <w:rFonts w:ascii="方正仿宋_GBK" w:hAnsi="Calibri" w:cs="宋体"/>
                <w:kern w:val="0"/>
                <w:sz w:val="24"/>
                <w:szCs w:val="24"/>
              </w:rPr>
              <w:t>一所：新金融研究所。重庆财经职业学院联合人民银行永川中心支行、建设银行永川支行、大地财险渝西中心支公司等单位，组建永</w:t>
            </w:r>
            <w:r>
              <w:rPr>
                <w:rFonts w:hint="eastAsia" w:ascii="方正仿宋_GBK" w:hAnsi="Calibri" w:cs="宋体"/>
                <w:kern w:val="0"/>
                <w:sz w:val="24"/>
                <w:szCs w:val="24"/>
              </w:rPr>
              <w:t>川区“新金融研究所”，以</w:t>
            </w:r>
            <w:r>
              <w:rPr>
                <w:rFonts w:ascii="方正仿宋_GBK" w:hAnsi="Calibri" w:cs="宋体"/>
                <w:kern w:val="0"/>
                <w:sz w:val="24"/>
                <w:szCs w:val="24"/>
              </w:rPr>
              <w:t>建设校级咨政育人平台为契机，遴选研究员队伍，深入开展横向课题研究，为教师提供教学科研服务。</w:t>
            </w:r>
          </w:p>
          <w:p>
            <w:pPr>
              <w:widowControl w:val="0"/>
              <w:snapToGrid w:val="0"/>
              <w:spacing w:line="240" w:lineRule="auto"/>
              <w:rPr>
                <w:rFonts w:eastAsia="宋体"/>
                <w:kern w:val="0"/>
                <w:sz w:val="24"/>
                <w:szCs w:val="24"/>
              </w:rPr>
            </w:pPr>
            <w:r>
              <w:rPr>
                <w:rFonts w:hint="eastAsia" w:ascii="方正仿宋_GBK" w:hAnsi="Calibri" w:cs="宋体"/>
                <w:kern w:val="0"/>
                <w:sz w:val="24"/>
                <w:szCs w:val="24"/>
              </w:rPr>
              <w:t xml:space="preserve">    </w:t>
            </w:r>
            <w:r>
              <w:rPr>
                <w:rFonts w:ascii="方正仿宋_GBK" w:hAnsi="Calibri" w:cs="宋体"/>
                <w:kern w:val="0"/>
                <w:sz w:val="24"/>
                <w:szCs w:val="24"/>
              </w:rPr>
              <w:t>一基地：永川区金融人才培训基地。2020年7月，永川区金融人才培训基地正式揭牌成立，区金融办、人民银行永川中心支行、永川银保监分局与重庆财经职业学院共同签订《金融人才培训基地共建合作协议》。</w:t>
            </w:r>
          </w:p>
        </w:tc>
      </w:tr>
    </w:tbl>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培养专业化金融业务骨干。坚</w:t>
      </w:r>
      <w:r>
        <w:rPr>
          <w:rFonts w:hint="eastAsia" w:ascii="方正仿宋_GBK" w:hAnsi="Calibri" w:cs="宋体"/>
          <w:kern w:val="0"/>
          <w:szCs w:val="32"/>
        </w:rPr>
        <w:t>持“政校企合作”模</w:t>
      </w:r>
      <w:r>
        <w:rPr>
          <w:rFonts w:ascii="方正仿宋_GBK" w:hAnsi="Calibri" w:cs="宋体"/>
          <w:kern w:val="0"/>
          <w:szCs w:val="32"/>
        </w:rPr>
        <w:t>式，依托人民银行、银保监会在永分支机构，以及市级金融监管部门，探索在永川区开展常态化的金融知识业务培训机制。依托江北嘴财经智库、西部金融研究院等智囊平台，开</w:t>
      </w:r>
      <w:r>
        <w:rPr>
          <w:rFonts w:hint="eastAsia" w:ascii="方正仿宋_GBK" w:hAnsi="Calibri" w:cs="宋体"/>
          <w:kern w:val="0"/>
          <w:szCs w:val="32"/>
        </w:rPr>
        <w:t>展“政校院企”合</w:t>
      </w:r>
      <w:r>
        <w:rPr>
          <w:rFonts w:ascii="方正仿宋_GBK" w:hAnsi="Calibri" w:cs="宋体"/>
          <w:kern w:val="0"/>
          <w:szCs w:val="32"/>
        </w:rPr>
        <w:t>作创新模式，引进和培育各类专业化金融教育服务机构、权威认证和金融培训组织，支持金融机构开展从业人员在职职业培训，支持从业人员获得国际金融职业资格认证。</w:t>
      </w:r>
    </w:p>
    <w:tbl>
      <w:tblPr>
        <w:tblStyle w:val="7"/>
        <w:tblW w:w="8959" w:type="dxa"/>
        <w:tblInd w:w="136" w:type="dxa"/>
        <w:tblLayout w:type="fixed"/>
        <w:tblCellMar>
          <w:top w:w="0" w:type="dxa"/>
          <w:left w:w="108" w:type="dxa"/>
          <w:bottom w:w="0" w:type="dxa"/>
          <w:right w:w="108" w:type="dxa"/>
        </w:tblCellMar>
      </w:tblPr>
      <w:tblGrid>
        <w:gridCol w:w="2663"/>
        <w:gridCol w:w="3683"/>
        <w:gridCol w:w="1684"/>
        <w:gridCol w:w="929"/>
      </w:tblGrid>
      <w:tr>
        <w:tblPrEx>
          <w:tblCellMar>
            <w:top w:w="0" w:type="dxa"/>
            <w:left w:w="108" w:type="dxa"/>
            <w:bottom w:w="0" w:type="dxa"/>
            <w:right w:w="108" w:type="dxa"/>
          </w:tblCellMar>
        </w:tblPrEx>
        <w:trPr>
          <w:trHeight w:val="0" w:hRule="atLeast"/>
        </w:trPr>
        <w:tc>
          <w:tcPr>
            <w:tcW w:w="8959" w:type="dxa"/>
            <w:gridSpan w:val="4"/>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方正黑体_GBK" w:hAnsi="Calibri" w:eastAsia="方正黑体_GBK" w:cs="宋体"/>
                <w:kern w:val="0"/>
                <w:sz w:val="24"/>
                <w:szCs w:val="24"/>
              </w:rPr>
            </w:pPr>
            <w:r>
              <w:rPr>
                <w:rFonts w:hint="eastAsia" w:ascii="方正黑体_GBK" w:hAnsi="Calibri" w:eastAsia="方正黑体_GBK" w:cs="宋体"/>
                <w:kern w:val="0"/>
                <w:sz w:val="24"/>
                <w:szCs w:val="24"/>
              </w:rPr>
              <w:t>专栏10：在永大中专院校金融相关专业开设情况</w:t>
            </w:r>
          </w:p>
        </w:tc>
      </w:tr>
      <w:tr>
        <w:tblPrEx>
          <w:tblCellMar>
            <w:top w:w="0" w:type="dxa"/>
            <w:left w:w="108" w:type="dxa"/>
            <w:bottom w:w="0" w:type="dxa"/>
            <w:right w:w="108" w:type="dxa"/>
          </w:tblCellMar>
        </w:tblPrEx>
        <w:trPr>
          <w:trHeight w:val="0" w:hRule="atLeast"/>
        </w:trPr>
        <w:tc>
          <w:tcPr>
            <w:tcW w:w="266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方正黑体_GBK" w:hAnsi="Calibri" w:eastAsia="方正黑体_GBK" w:cs="宋体"/>
                <w:kern w:val="0"/>
                <w:sz w:val="24"/>
                <w:szCs w:val="24"/>
              </w:rPr>
            </w:pPr>
            <w:r>
              <w:rPr>
                <w:rFonts w:hint="eastAsia" w:ascii="方正黑体_GBK" w:hAnsi="Calibri" w:eastAsia="方正黑体_GBK" w:cs="宋体"/>
                <w:kern w:val="0"/>
                <w:sz w:val="24"/>
                <w:szCs w:val="24"/>
              </w:rPr>
              <w:t>学校名称</w:t>
            </w:r>
          </w:p>
        </w:tc>
        <w:tc>
          <w:tcPr>
            <w:tcW w:w="3683"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黑体_GBK" w:hAnsi="Calibri" w:eastAsia="方正黑体_GBK" w:cs="宋体"/>
                <w:kern w:val="0"/>
                <w:sz w:val="24"/>
                <w:szCs w:val="24"/>
              </w:rPr>
            </w:pPr>
            <w:r>
              <w:rPr>
                <w:rFonts w:hint="eastAsia" w:ascii="方正黑体_GBK" w:hAnsi="Calibri" w:eastAsia="方正黑体_GBK" w:cs="宋体"/>
                <w:kern w:val="0"/>
                <w:sz w:val="24"/>
                <w:szCs w:val="24"/>
              </w:rPr>
              <w:t>开设专业</w:t>
            </w:r>
          </w:p>
        </w:tc>
        <w:tc>
          <w:tcPr>
            <w:tcW w:w="1684"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黑体_GBK" w:hAnsi="Calibri" w:eastAsia="方正黑体_GBK" w:cs="宋体"/>
                <w:kern w:val="0"/>
                <w:sz w:val="24"/>
                <w:szCs w:val="24"/>
              </w:rPr>
            </w:pPr>
            <w:r>
              <w:rPr>
                <w:rFonts w:hint="eastAsia" w:ascii="方正黑体_GBK" w:hAnsi="Calibri" w:eastAsia="方正黑体_GBK" w:cs="宋体"/>
                <w:kern w:val="0"/>
                <w:sz w:val="24"/>
                <w:szCs w:val="24"/>
              </w:rPr>
              <w:t>专业人数（人）</w:t>
            </w:r>
          </w:p>
        </w:tc>
        <w:tc>
          <w:tcPr>
            <w:tcW w:w="929"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黑体_GBK" w:hAnsi="Calibri" w:eastAsia="方正黑体_GBK" w:cs="宋体"/>
                <w:kern w:val="0"/>
                <w:sz w:val="24"/>
                <w:szCs w:val="24"/>
              </w:rPr>
            </w:pPr>
            <w:r>
              <w:rPr>
                <w:rFonts w:hint="eastAsia" w:ascii="方正黑体_GBK" w:hAnsi="Calibri" w:eastAsia="方正黑体_GBK" w:cs="宋体"/>
                <w:kern w:val="0"/>
                <w:sz w:val="24"/>
                <w:szCs w:val="24"/>
              </w:rPr>
              <w:t>学制</w:t>
            </w:r>
          </w:p>
        </w:tc>
      </w:tr>
      <w:tr>
        <w:tblPrEx>
          <w:tblCellMar>
            <w:top w:w="0" w:type="dxa"/>
            <w:left w:w="108" w:type="dxa"/>
            <w:bottom w:w="0" w:type="dxa"/>
            <w:right w:w="108" w:type="dxa"/>
          </w:tblCellMar>
        </w:tblPrEx>
        <w:trPr>
          <w:trHeight w:val="0" w:hRule="atLeast"/>
        </w:trPr>
        <w:tc>
          <w:tcPr>
            <w:tcW w:w="266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重庆文理学院</w:t>
            </w:r>
          </w:p>
        </w:tc>
        <w:tc>
          <w:tcPr>
            <w:tcW w:w="3683"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财务管理、会展经济与管理、金融数学、数据科学</w:t>
            </w:r>
          </w:p>
        </w:tc>
        <w:tc>
          <w:tcPr>
            <w:tcW w:w="1684"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1137</w:t>
            </w:r>
          </w:p>
        </w:tc>
        <w:tc>
          <w:tcPr>
            <w:tcW w:w="929"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4年</w:t>
            </w:r>
          </w:p>
        </w:tc>
      </w:tr>
      <w:tr>
        <w:tblPrEx>
          <w:tblCellMar>
            <w:top w:w="0" w:type="dxa"/>
            <w:left w:w="108" w:type="dxa"/>
            <w:bottom w:w="0" w:type="dxa"/>
            <w:right w:w="108" w:type="dxa"/>
          </w:tblCellMar>
        </w:tblPrEx>
        <w:trPr>
          <w:trHeight w:val="90" w:hRule="atLeast"/>
        </w:trPr>
        <w:tc>
          <w:tcPr>
            <w:tcW w:w="2663" w:type="dxa"/>
            <w:vMerge w:val="restart"/>
            <w:tcBorders>
              <w:top w:val="nil"/>
              <w:left w:val="single" w:color="000000" w:sz="4" w:space="0"/>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重庆大学城市科技学院</w:t>
            </w:r>
          </w:p>
        </w:tc>
        <w:tc>
          <w:tcPr>
            <w:tcW w:w="3683"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国际经济与贸易、会计学、资产评估</w:t>
            </w:r>
          </w:p>
        </w:tc>
        <w:tc>
          <w:tcPr>
            <w:tcW w:w="1684"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3922</w:t>
            </w:r>
          </w:p>
        </w:tc>
        <w:tc>
          <w:tcPr>
            <w:tcW w:w="929"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4年</w:t>
            </w:r>
          </w:p>
        </w:tc>
      </w:tr>
      <w:tr>
        <w:tblPrEx>
          <w:tblCellMar>
            <w:top w:w="0" w:type="dxa"/>
            <w:left w:w="108" w:type="dxa"/>
            <w:bottom w:w="0" w:type="dxa"/>
            <w:right w:w="108" w:type="dxa"/>
          </w:tblCellMar>
        </w:tblPrEx>
        <w:trPr>
          <w:trHeight w:val="0" w:hRule="atLeast"/>
        </w:trPr>
        <w:tc>
          <w:tcPr>
            <w:tcW w:w="2663" w:type="dxa"/>
            <w:vMerge w:val="continue"/>
            <w:tcBorders>
              <w:top w:val="nil"/>
              <w:left w:val="single" w:color="000000" w:sz="4" w:space="0"/>
              <w:bottom w:val="single" w:color="000000" w:sz="4" w:space="0"/>
              <w:right w:val="single" w:color="000000" w:sz="4" w:space="0"/>
            </w:tcBorders>
            <w:vAlign w:val="center"/>
          </w:tcPr>
          <w:p>
            <w:pPr>
              <w:widowControl w:val="0"/>
              <w:snapToGrid w:val="0"/>
              <w:spacing w:line="240" w:lineRule="auto"/>
              <w:jc w:val="left"/>
              <w:rPr>
                <w:rFonts w:ascii="方正仿宋_GBK" w:hAnsi="Calibri" w:cs="宋体"/>
                <w:kern w:val="0"/>
                <w:sz w:val="24"/>
                <w:szCs w:val="24"/>
              </w:rPr>
            </w:pPr>
          </w:p>
        </w:tc>
        <w:tc>
          <w:tcPr>
            <w:tcW w:w="3683"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会计（高职）</w:t>
            </w:r>
          </w:p>
        </w:tc>
        <w:tc>
          <w:tcPr>
            <w:tcW w:w="1684"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712</w:t>
            </w:r>
          </w:p>
        </w:tc>
        <w:tc>
          <w:tcPr>
            <w:tcW w:w="929"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3年</w:t>
            </w:r>
          </w:p>
        </w:tc>
      </w:tr>
      <w:tr>
        <w:tblPrEx>
          <w:tblCellMar>
            <w:top w:w="0" w:type="dxa"/>
            <w:left w:w="108" w:type="dxa"/>
            <w:bottom w:w="0" w:type="dxa"/>
            <w:right w:w="108" w:type="dxa"/>
          </w:tblCellMar>
        </w:tblPrEx>
        <w:trPr>
          <w:trHeight w:val="0" w:hRule="atLeast"/>
        </w:trPr>
        <w:tc>
          <w:tcPr>
            <w:tcW w:w="266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重庆城市职业学院</w:t>
            </w:r>
          </w:p>
        </w:tc>
        <w:tc>
          <w:tcPr>
            <w:tcW w:w="3683"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报关与国际货运、电子商务、会计信息管理</w:t>
            </w:r>
          </w:p>
        </w:tc>
        <w:tc>
          <w:tcPr>
            <w:tcW w:w="1684"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1195</w:t>
            </w:r>
          </w:p>
        </w:tc>
        <w:tc>
          <w:tcPr>
            <w:tcW w:w="929"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3年</w:t>
            </w:r>
          </w:p>
        </w:tc>
      </w:tr>
      <w:tr>
        <w:tblPrEx>
          <w:tblCellMar>
            <w:top w:w="0" w:type="dxa"/>
            <w:left w:w="108" w:type="dxa"/>
            <w:bottom w:w="0" w:type="dxa"/>
            <w:right w:w="108" w:type="dxa"/>
          </w:tblCellMar>
        </w:tblPrEx>
        <w:trPr>
          <w:trHeight w:val="0" w:hRule="atLeast"/>
        </w:trPr>
        <w:tc>
          <w:tcPr>
            <w:tcW w:w="266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重庆财经职业学院</w:t>
            </w:r>
          </w:p>
        </w:tc>
        <w:tc>
          <w:tcPr>
            <w:tcW w:w="3683"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报关与国际货运、国际经济与贸易、会展策划与管理、旅游管理、互联网金融、金融管理、投资与理财、证劵与期货、会计、商务数据分析与应用、会计信息管理、财务管理、审计、电子商务、大数据技术与应用</w:t>
            </w:r>
          </w:p>
        </w:tc>
        <w:tc>
          <w:tcPr>
            <w:tcW w:w="1684"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5882</w:t>
            </w:r>
          </w:p>
        </w:tc>
        <w:tc>
          <w:tcPr>
            <w:tcW w:w="929"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3年</w:t>
            </w:r>
          </w:p>
        </w:tc>
      </w:tr>
      <w:tr>
        <w:tblPrEx>
          <w:tblCellMar>
            <w:top w:w="0" w:type="dxa"/>
            <w:left w:w="108" w:type="dxa"/>
            <w:bottom w:w="0" w:type="dxa"/>
            <w:right w:w="108" w:type="dxa"/>
          </w:tblCellMar>
        </w:tblPrEx>
        <w:trPr>
          <w:trHeight w:val="0" w:hRule="atLeast"/>
        </w:trPr>
        <w:tc>
          <w:tcPr>
            <w:tcW w:w="266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重庆科创职业学院</w:t>
            </w:r>
          </w:p>
        </w:tc>
        <w:tc>
          <w:tcPr>
            <w:tcW w:w="3683"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国际经济与贸易、会计</w:t>
            </w:r>
          </w:p>
        </w:tc>
        <w:tc>
          <w:tcPr>
            <w:tcW w:w="1684"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1149</w:t>
            </w:r>
          </w:p>
        </w:tc>
        <w:tc>
          <w:tcPr>
            <w:tcW w:w="929"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3年</w:t>
            </w:r>
          </w:p>
        </w:tc>
      </w:tr>
      <w:tr>
        <w:tblPrEx>
          <w:tblCellMar>
            <w:top w:w="0" w:type="dxa"/>
            <w:left w:w="108" w:type="dxa"/>
            <w:bottom w:w="0" w:type="dxa"/>
            <w:right w:w="108" w:type="dxa"/>
          </w:tblCellMar>
        </w:tblPrEx>
        <w:trPr>
          <w:trHeight w:val="0" w:hRule="atLeast"/>
        </w:trPr>
        <w:tc>
          <w:tcPr>
            <w:tcW w:w="266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重庆工业技师学院</w:t>
            </w:r>
          </w:p>
        </w:tc>
        <w:tc>
          <w:tcPr>
            <w:tcW w:w="3683"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电子商务</w:t>
            </w:r>
          </w:p>
        </w:tc>
        <w:tc>
          <w:tcPr>
            <w:tcW w:w="1684"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188</w:t>
            </w:r>
          </w:p>
        </w:tc>
        <w:tc>
          <w:tcPr>
            <w:tcW w:w="929"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3年</w:t>
            </w:r>
          </w:p>
        </w:tc>
      </w:tr>
      <w:tr>
        <w:tblPrEx>
          <w:tblCellMar>
            <w:top w:w="0" w:type="dxa"/>
            <w:left w:w="108" w:type="dxa"/>
            <w:bottom w:w="0" w:type="dxa"/>
            <w:right w:w="108" w:type="dxa"/>
          </w:tblCellMar>
        </w:tblPrEx>
        <w:trPr>
          <w:trHeight w:val="0" w:hRule="atLeast"/>
        </w:trPr>
        <w:tc>
          <w:tcPr>
            <w:tcW w:w="266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重庆市经贸中等</w:t>
            </w:r>
          </w:p>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专业学校</w:t>
            </w:r>
          </w:p>
        </w:tc>
        <w:tc>
          <w:tcPr>
            <w:tcW w:w="3683"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电子商务、会计</w:t>
            </w:r>
          </w:p>
        </w:tc>
        <w:tc>
          <w:tcPr>
            <w:tcW w:w="1684"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996</w:t>
            </w:r>
          </w:p>
        </w:tc>
        <w:tc>
          <w:tcPr>
            <w:tcW w:w="929"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3年</w:t>
            </w:r>
          </w:p>
        </w:tc>
      </w:tr>
      <w:tr>
        <w:tblPrEx>
          <w:tblCellMar>
            <w:top w:w="0" w:type="dxa"/>
            <w:left w:w="108" w:type="dxa"/>
            <w:bottom w:w="0" w:type="dxa"/>
            <w:right w:w="108" w:type="dxa"/>
          </w:tblCellMar>
        </w:tblPrEx>
        <w:trPr>
          <w:trHeight w:val="0" w:hRule="atLeast"/>
        </w:trPr>
        <w:tc>
          <w:tcPr>
            <w:tcW w:w="266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重庆市农业机械化</w:t>
            </w:r>
          </w:p>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学校（重庆市机电工业学校）</w:t>
            </w:r>
          </w:p>
        </w:tc>
        <w:tc>
          <w:tcPr>
            <w:tcW w:w="3683"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农村经济综合管理、会计</w:t>
            </w:r>
          </w:p>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电算化、电子商务</w:t>
            </w:r>
          </w:p>
        </w:tc>
        <w:tc>
          <w:tcPr>
            <w:tcW w:w="1684"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630</w:t>
            </w:r>
          </w:p>
        </w:tc>
        <w:tc>
          <w:tcPr>
            <w:tcW w:w="929"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3年</w:t>
            </w:r>
          </w:p>
        </w:tc>
      </w:tr>
      <w:tr>
        <w:tblPrEx>
          <w:tblCellMar>
            <w:top w:w="0" w:type="dxa"/>
            <w:left w:w="108" w:type="dxa"/>
            <w:bottom w:w="0" w:type="dxa"/>
            <w:right w:w="108" w:type="dxa"/>
          </w:tblCellMar>
        </w:tblPrEx>
        <w:trPr>
          <w:trHeight w:val="0" w:hRule="atLeast"/>
        </w:trPr>
        <w:tc>
          <w:tcPr>
            <w:tcW w:w="266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重庆市永川职业教育中心</w:t>
            </w:r>
          </w:p>
        </w:tc>
        <w:tc>
          <w:tcPr>
            <w:tcW w:w="3683"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会计、电子商务</w:t>
            </w:r>
          </w:p>
        </w:tc>
        <w:tc>
          <w:tcPr>
            <w:tcW w:w="1684"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429</w:t>
            </w:r>
          </w:p>
        </w:tc>
        <w:tc>
          <w:tcPr>
            <w:tcW w:w="929" w:type="dxa"/>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3年</w:t>
            </w:r>
          </w:p>
        </w:tc>
      </w:tr>
      <w:tr>
        <w:tblPrEx>
          <w:tblCellMar>
            <w:top w:w="0" w:type="dxa"/>
            <w:left w:w="108" w:type="dxa"/>
            <w:bottom w:w="0" w:type="dxa"/>
            <w:right w:w="108" w:type="dxa"/>
          </w:tblCellMar>
        </w:tblPrEx>
        <w:trPr>
          <w:trHeight w:val="0" w:hRule="atLeast"/>
        </w:trPr>
        <w:tc>
          <w:tcPr>
            <w:tcW w:w="6346" w:type="dxa"/>
            <w:gridSpan w:val="2"/>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rPr>
                <w:rFonts w:ascii="方正仿宋_GBK" w:hAnsi="Calibri" w:cs="宋体"/>
                <w:kern w:val="0"/>
                <w:sz w:val="24"/>
                <w:szCs w:val="24"/>
              </w:rPr>
            </w:pPr>
            <w:r>
              <w:rPr>
                <w:rFonts w:ascii="方正仿宋_GBK" w:hAnsi="Calibri" w:cs="宋体"/>
                <w:kern w:val="0"/>
                <w:sz w:val="24"/>
                <w:szCs w:val="24"/>
              </w:rPr>
              <w:t>合计</w:t>
            </w:r>
          </w:p>
        </w:tc>
        <w:tc>
          <w:tcPr>
            <w:tcW w:w="2613" w:type="dxa"/>
            <w:gridSpan w:val="2"/>
            <w:tcBorders>
              <w:top w:val="single" w:color="000000" w:sz="4" w:space="0"/>
              <w:left w:val="nil"/>
              <w:bottom w:val="single" w:color="000000" w:sz="4" w:space="0"/>
              <w:right w:val="single" w:color="000000" w:sz="4" w:space="0"/>
            </w:tcBorders>
            <w:vAlign w:val="center"/>
          </w:tcPr>
          <w:p>
            <w:pPr>
              <w:widowControl w:val="0"/>
              <w:snapToGrid w:val="0"/>
              <w:spacing w:line="240" w:lineRule="auto"/>
              <w:jc w:val="center"/>
              <w:rPr>
                <w:rFonts w:ascii="方正仿宋_GBK" w:hAnsi="Calibri" w:cs="宋体"/>
                <w:kern w:val="0"/>
                <w:sz w:val="24"/>
                <w:szCs w:val="24"/>
              </w:rPr>
            </w:pPr>
            <w:r>
              <w:rPr>
                <w:rFonts w:ascii="方正仿宋_GBK" w:hAnsi="Calibri" w:cs="宋体"/>
                <w:kern w:val="0"/>
                <w:sz w:val="24"/>
                <w:szCs w:val="24"/>
              </w:rPr>
              <w:t>16250</w:t>
            </w:r>
          </w:p>
        </w:tc>
      </w:tr>
    </w:tbl>
    <w:p>
      <w:pPr>
        <w:widowControl w:val="0"/>
        <w:snapToGrid w:val="0"/>
        <w:spacing w:before="0" w:after="0" w:line="276" w:lineRule="auto"/>
        <w:ind w:firstLine="640" w:firstLineChars="200"/>
        <w:jc w:val="left"/>
        <w:rPr>
          <w:rFonts w:hint="default" w:ascii="方正仿宋_GBK" w:hAnsi="Calibri" w:eastAsia="方正仿宋_GBK" w:cs="宋体"/>
          <w:kern w:val="0"/>
          <w:sz w:val="32"/>
          <w:szCs w:val="32"/>
        </w:rPr>
      </w:pPr>
    </w:p>
    <w:p>
      <w:pPr>
        <w:widowControl w:val="0"/>
        <w:snapToGrid w:val="0"/>
        <w:spacing w:before="0" w:after="0" w:line="276" w:lineRule="auto"/>
        <w:jc w:val="center"/>
        <w:rPr>
          <w:rFonts w:hint="eastAsia" w:ascii="方正黑体_GBK" w:hAnsi="Calibri" w:eastAsia="方正黑体_GBK" w:cs="宋体"/>
          <w:kern w:val="0"/>
          <w:sz w:val="32"/>
          <w:szCs w:val="32"/>
        </w:rPr>
      </w:pPr>
      <w:r>
        <w:rPr>
          <w:rFonts w:hint="eastAsia" w:ascii="方正黑体_GBK" w:hAnsi="Calibri" w:eastAsia="方正黑体_GBK" w:cs="宋体"/>
          <w:kern w:val="0"/>
          <w:sz w:val="32"/>
          <w:szCs w:val="32"/>
        </w:rPr>
        <w:t>第七章  开展“四大创新示范”</w:t>
      </w:r>
    </w:p>
    <w:p>
      <w:pPr>
        <w:widowControl w:val="0"/>
        <w:snapToGrid w:val="0"/>
        <w:spacing w:line="276" w:lineRule="auto"/>
        <w:ind w:firstLine="640" w:firstLineChars="200"/>
        <w:rPr>
          <w:rFonts w:ascii="方正仿宋_GBK" w:hAnsi="Calibri" w:cs="宋体"/>
          <w:kern w:val="0"/>
          <w:szCs w:val="32"/>
        </w:rPr>
      </w:pP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立足永川区经济社会发展实际，兼顾与产业结构相适应的特色金融发展趋势，结合全市金融业态创新机遇，开展供应链金融、绿色金融、文旅金融和普惠金融四大创新示范。</w:t>
      </w:r>
    </w:p>
    <w:p>
      <w:pPr>
        <w:widowControl w:val="0"/>
        <w:snapToGrid w:val="0"/>
        <w:spacing w:line="276" w:lineRule="auto"/>
        <w:ind w:firstLine="640" w:firstLineChars="200"/>
        <w:rPr>
          <w:rFonts w:hint="eastAsia" w:ascii="方正仿宋_GBK" w:hAnsi="Calibri" w:cs="宋体"/>
          <w:kern w:val="0"/>
          <w:szCs w:val="32"/>
        </w:rPr>
      </w:pPr>
    </w:p>
    <w:p>
      <w:pPr>
        <w:widowControl w:val="0"/>
        <w:snapToGrid w:val="0"/>
        <w:spacing w:before="0" w:after="0" w:line="276" w:lineRule="auto"/>
        <w:jc w:val="center"/>
        <w:rPr>
          <w:rFonts w:ascii="方正黑体_GBK" w:hAnsi="Calibri" w:eastAsia="方正黑体_GBK" w:cs="宋体"/>
          <w:kern w:val="0"/>
          <w:szCs w:val="32"/>
        </w:rPr>
      </w:pPr>
      <w:r>
        <w:rPr>
          <w:rFonts w:hint="eastAsia" w:ascii="方正黑体_GBK" w:hAnsi="Calibri" w:eastAsia="方正黑体_GBK" w:cs="宋体"/>
          <w:kern w:val="0"/>
          <w:szCs w:val="32"/>
        </w:rPr>
        <w:t>第一节  建设供应链金融创新示范区</w:t>
      </w:r>
    </w:p>
    <w:p>
      <w:pPr>
        <w:widowControl w:val="0"/>
        <w:snapToGrid w:val="0"/>
        <w:spacing w:line="276" w:lineRule="auto"/>
        <w:ind w:firstLine="640" w:firstLineChars="200"/>
        <w:rPr>
          <w:rFonts w:ascii="方正仿宋_GBK" w:hAnsi="Calibri" w:cs="宋体"/>
          <w:kern w:val="0"/>
          <w:szCs w:val="32"/>
        </w:rPr>
      </w:pP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利用重庆连</w:t>
      </w:r>
      <w:r>
        <w:rPr>
          <w:rFonts w:hint="eastAsia" w:ascii="方正仿宋_GBK" w:hAnsi="Calibri" w:cs="宋体"/>
          <w:kern w:val="0"/>
          <w:szCs w:val="32"/>
        </w:rPr>
        <w:t>接“一带一路”和长江经</w:t>
      </w:r>
      <w:r>
        <w:rPr>
          <w:rFonts w:ascii="方正仿宋_GBK" w:hAnsi="Calibri" w:cs="宋体"/>
          <w:kern w:val="0"/>
          <w:szCs w:val="32"/>
        </w:rPr>
        <w:t>济带的纽带作用，推动永川区积极融入西部陆海新通道建设，依托港桥现代物流园、城区综合物流园、大安航空物流园等基础，搭建供应链金融综合平台，创新业务模式，建设供应链金融创新示范区。</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一、培育供应链金融专业机构</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坚持专业化、智能化、国际化，依托申报设立永川综合保税区，整合港桥现代物流园、城区综合物流园、大安航空物流园等区域内行业资源，围绕跨境物流、公路物流、铁路物流、航空物流等产业，探索组建供应链金融实体，推动长城汽车物流园设立供应链金融专业机构，完善物流金融机构体系、创新物流金融产品和服务，实现规模经营，探索对外投资模式，实现业务辐射。积极争取市级相关部门支持，争取引进金融保理、金融租赁、融资租赁等金融机构落户开展相关业务。加快建立专业从事供应链金融的综合服务平台，重点整合融资租赁公司、第三方支付公司、海外股权投资公司、交易结算中心等，缩短产业上下游企业与资本市场对接距离，高效提供完备的供应链金融一站式服务。完善供应链金融企业类型，构建多维度集成的供应链金融平台，打造</w:t>
      </w:r>
      <w:r>
        <w:rPr>
          <w:rFonts w:hint="eastAsia" w:ascii="方正仿宋_GBK" w:hAnsi="Calibri" w:cs="宋体"/>
          <w:kern w:val="0"/>
          <w:szCs w:val="32"/>
        </w:rPr>
        <w:t>“金融+商贸+物流”的“一站式”金融综合服务生态圈。</w:t>
      </w:r>
    </w:p>
    <w:p>
      <w:pPr>
        <w:widowControl w:val="0"/>
        <w:snapToGrid w:val="0"/>
        <w:spacing w:line="276" w:lineRule="auto"/>
        <w:ind w:firstLine="640"/>
        <w:rPr>
          <w:rFonts w:hint="eastAsia" w:ascii="方正黑体_GBK" w:hAnsi="Calibri" w:eastAsia="方正黑体_GBK" w:cs="宋体"/>
          <w:kern w:val="0"/>
          <w:szCs w:val="32"/>
        </w:rPr>
      </w:pPr>
      <w:r>
        <w:rPr>
          <w:rFonts w:hint="eastAsia" w:ascii="方正黑体_GBK" w:hAnsi="Calibri" w:eastAsia="方正黑体_GBK" w:cs="宋体"/>
          <w:kern w:val="0"/>
          <w:szCs w:val="32"/>
        </w:rPr>
        <w:t>二、创新供应链金融业务模式</w:t>
      </w:r>
    </w:p>
    <w:p>
      <w:pPr>
        <w:widowControl w:val="0"/>
        <w:snapToGrid w:val="0"/>
        <w:spacing w:line="276" w:lineRule="auto"/>
        <w:ind w:firstLine="640" w:firstLineChars="200"/>
        <w:rPr>
          <w:rFonts w:hint="eastAsia" w:ascii="方正仿宋_GBK" w:hAnsi="Calibri" w:cs="宋体"/>
          <w:kern w:val="0"/>
          <w:szCs w:val="32"/>
        </w:rPr>
      </w:pPr>
      <w:r>
        <w:rPr>
          <w:rFonts w:hint="eastAsia" w:ascii="方正仿宋_GBK" w:hAnsi="Calibri" w:cs="宋体"/>
          <w:kern w:val="0"/>
          <w:szCs w:val="32"/>
        </w:rPr>
        <w:t>立足核心企业“产、供、销”和上下游企业“投、融、顾”需求</w:t>
      </w:r>
      <w:r>
        <w:rPr>
          <w:rFonts w:ascii="方正仿宋_GBK" w:hAnsi="Calibri" w:cs="宋体"/>
          <w:kern w:val="0"/>
          <w:szCs w:val="32"/>
        </w:rPr>
        <w:t>，构建集生产、结算、账款、物流为一体的供应链金融服务。鼓励银行机构大力发展现货、应收账款、预付款类供应链金融服务，做好助保贷、关单质押贷款、委托贷款、订单融资、应收账款质押融资、保单质押融资等服务。引导金融机构以产业链核心企业为依托，设计标准化金融服务产品，着力缓解供应链上中小企业融资难问题。依托供应链金融平台，整合供应链上下游企业在供应、生产、销售、运输、存储、包装、配送、信息处理等环节的资金需求，构建供应链金融集成化协同服务体系。创新物流金融业务模式，引导企业以中介、担保、自营等模式参与物流金融服务，重点开展物流质押融资、物流仓单、物流结算、物流保险等业务模式。加快由单一的货物质押向全供应链全过程的集成服务业务升级，加快发展动态质押管理。综合运用投融资、物流保险、票据融资、实物融资、技术融资、建立供应链发展基金和风险基金等多种模式，着力连接璧山、江津、泸州等周边区域产业园区，积极对接西</w:t>
      </w:r>
      <w:r>
        <w:rPr>
          <w:rFonts w:hint="eastAsia" w:ascii="方正仿宋_GBK" w:hAnsi="Calibri" w:cs="宋体"/>
          <w:kern w:val="0"/>
          <w:szCs w:val="32"/>
        </w:rPr>
        <w:t>部陆海新通道，融入“渝新欧”国际贸易、内陆保税物流园区等重大项目，促进供应链金融与实体经济共同发展。</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三、扩大供应链金融市场需求</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发展供应链金融的委托代理服务。促进存款、贷款、投资、信托、租赁、抵押、贴现、保险、有价证券发行与交易等各类金融业务的委托代理，整合采购、研发、配送、人力资源服务等中介服务资源，重点发展第三方质押担保、第三方支付结算和物流保险等业务。通过第三方公司与银行、保险等机构的代理业务合作，降低供应链企业的融资和交易成本。</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推进物联网、车联网供应链金融服务。依托永川国家高新技术产业开发区、百度西部自动驾驶研发运营中心和开放测试基地、阿里云人工智能交付中心等龙头企业或项目，重点利用全国车联网监管与服务公共平台、全国道路货运车辆公共监管与服务平台两大国家级服务网络，中国移动物联网基地、微软全球交付中心等全国性平台，全面推动物联网、车联网金融结算。充分利用第三方支付牌照企业的支付结算功能，打造汽车后服务第三方支付平台。积极引导拥有第三方支付牌照的企业到永开展物联网、车联网结算业务。</w:t>
      </w:r>
    </w:p>
    <w:p>
      <w:pPr>
        <w:widowControl w:val="0"/>
        <w:snapToGrid w:val="0"/>
        <w:spacing w:line="276" w:lineRule="auto"/>
        <w:ind w:firstLine="640" w:firstLineChars="200"/>
        <w:rPr>
          <w:rFonts w:ascii="方正仿宋_GBK" w:hAnsi="Calibri" w:cs="宋体"/>
          <w:kern w:val="0"/>
          <w:szCs w:val="32"/>
        </w:rPr>
      </w:pPr>
    </w:p>
    <w:p>
      <w:pPr>
        <w:widowControl w:val="0"/>
        <w:snapToGrid w:val="0"/>
        <w:spacing w:before="0" w:after="0" w:line="276" w:lineRule="auto"/>
        <w:jc w:val="center"/>
        <w:rPr>
          <w:rFonts w:ascii="方正黑体_GBK" w:hAnsi="Calibri" w:eastAsia="方正黑体_GBK" w:cs="宋体"/>
          <w:kern w:val="0"/>
          <w:szCs w:val="32"/>
        </w:rPr>
      </w:pPr>
      <w:r>
        <w:rPr>
          <w:rFonts w:hint="eastAsia" w:ascii="方正黑体_GBK" w:hAnsi="Calibri" w:eastAsia="方正黑体_GBK" w:cs="宋体"/>
          <w:kern w:val="0"/>
          <w:szCs w:val="32"/>
        </w:rPr>
        <w:t>第二节  建设绿色金融创新示范区</w:t>
      </w:r>
    </w:p>
    <w:p>
      <w:pPr>
        <w:widowControl w:val="0"/>
        <w:snapToGrid w:val="0"/>
        <w:spacing w:line="276" w:lineRule="auto"/>
        <w:ind w:firstLine="640" w:firstLineChars="200"/>
        <w:rPr>
          <w:rFonts w:ascii="方正仿宋_GBK" w:hAnsi="Calibri" w:cs="宋体"/>
          <w:kern w:val="0"/>
          <w:szCs w:val="32"/>
        </w:rPr>
      </w:pP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利用重庆市创建长江经济带（重庆）绿色金融创新示范区契</w:t>
      </w:r>
      <w:r>
        <w:rPr>
          <w:rFonts w:hint="eastAsia" w:ascii="方正仿宋_GBK" w:hAnsi="Calibri" w:cs="宋体"/>
          <w:kern w:val="0"/>
          <w:szCs w:val="32"/>
        </w:rPr>
        <w:t>机，依托永川区“三山”“六水”“九湖”的山水城市生态，积极争取政策支持，实施绿色金融创新示范区建设。</w:t>
      </w:r>
    </w:p>
    <w:p>
      <w:pPr>
        <w:widowControl w:val="0"/>
        <w:snapToGrid w:val="0"/>
        <w:spacing w:line="276" w:lineRule="auto"/>
        <w:ind w:firstLine="640"/>
        <w:rPr>
          <w:rFonts w:hint="eastAsia" w:ascii="方正黑体_GBK" w:hAnsi="Calibri" w:eastAsia="方正黑体_GBK" w:cs="宋体"/>
          <w:kern w:val="0"/>
          <w:szCs w:val="32"/>
        </w:rPr>
      </w:pPr>
      <w:r>
        <w:rPr>
          <w:rFonts w:hint="eastAsia" w:ascii="方正黑体_GBK" w:hAnsi="Calibri" w:eastAsia="方正黑体_GBK" w:cs="宋体"/>
          <w:kern w:val="0"/>
          <w:szCs w:val="32"/>
        </w:rPr>
        <w:t>一、完善绿色金融机构组织体系</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引导绿色金融机构落户永川区，支持全国性金融机构来永设立区域性绿色金融总部。鼓励金融机构来永设立绿色金融事业部、业务中心或绿色专营分支机构。支持在永设立绿色资产管理公司、绿色金融科技公司、绿色投行等，鼓励成立绿色特殊目的公司（SPV）。引进或创设绿色发展基金，支持设立绿色信用担保基金，鼓励社会资本参与投资绿色产业转型、水资源保护、生态环境修复等经济活动。</w:t>
      </w:r>
      <w:r>
        <w:rPr>
          <w:rFonts w:hint="eastAsia" w:ascii="方正仿宋_GBK" w:hAnsi="Calibri" w:cs="宋体"/>
          <w:kern w:val="0"/>
          <w:szCs w:val="32"/>
        </w:rPr>
        <w:t>引进</w:t>
      </w:r>
      <w:r>
        <w:rPr>
          <w:rFonts w:ascii="方正仿宋_GBK" w:hAnsi="Calibri" w:cs="宋体"/>
          <w:kern w:val="0"/>
          <w:szCs w:val="32"/>
        </w:rPr>
        <w:t>绿色融资担保机构，提供绿色融资增信服务。到2025年末，推动重庆农商行、兴业银行</w:t>
      </w:r>
      <w:r>
        <w:rPr>
          <w:rFonts w:hint="eastAsia" w:ascii="方正仿宋_GBK" w:hAnsi="Calibri" w:cs="宋体"/>
          <w:kern w:val="0"/>
          <w:szCs w:val="32"/>
        </w:rPr>
        <w:t>等机构</w:t>
      </w:r>
      <w:r>
        <w:rPr>
          <w:rFonts w:ascii="方正仿宋_GBK" w:hAnsi="Calibri" w:cs="宋体"/>
          <w:kern w:val="0"/>
          <w:szCs w:val="32"/>
        </w:rPr>
        <w:t>在永设立绿色金融专营机构或绿色金融区域性总部。</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二、鼓励绿色金融产品服务创新</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支持发展信贷、基金、债券、资产证券化等各类绿色金融工具。鼓励支持农行永川支行</w:t>
      </w:r>
      <w:r>
        <w:rPr>
          <w:rFonts w:hint="eastAsia" w:ascii="方正仿宋_GBK" w:hAnsi="Calibri" w:cs="宋体"/>
          <w:kern w:val="0"/>
          <w:szCs w:val="32"/>
        </w:rPr>
        <w:t>等银行机构创新“绿创贷”“节水贷”“环保贷”“绿票通”等绿色信贷产品和服务，加强与绿色产业、绿色项目的金融需求对接，加大对生活垃</w:t>
      </w:r>
      <w:r>
        <w:rPr>
          <w:rFonts w:ascii="方正仿宋_GBK" w:hAnsi="Calibri" w:cs="宋体"/>
          <w:kern w:val="0"/>
          <w:szCs w:val="32"/>
        </w:rPr>
        <w:t>圾焚烧发电、城市污水处理厂等绿色重要产业和项目的资金支持，创新绿色信贷抵（质）押担保模式，发展以碳排放权、排污权等环境权益，以及以绿色工程收费权和收益权为抵（质）押标的的新型绿色信贷。到2025年末，全区绿色信贷年均增速不低于各项贷款平均增速，全区绿色信贷占比不低于全市平均水平。</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支持绿色企业开展直接债务融资，鼓励发行绿色企业债、绿色公司债、绿色资产支持证券（ABS）、绿色项目收益支持票据等绿色债券产品。探索发行政府一般债券或专项债券用于绿色项目建设。推动发展绿色保险</w:t>
      </w:r>
      <w:r>
        <w:rPr>
          <w:rFonts w:hint="eastAsia" w:ascii="方正仿宋_GBK" w:hAnsi="Calibri" w:cs="宋体"/>
          <w:kern w:val="0"/>
          <w:szCs w:val="32"/>
        </w:rPr>
        <w:t>、</w:t>
      </w:r>
      <w:r>
        <w:rPr>
          <w:rFonts w:ascii="方正仿宋_GBK" w:hAnsi="Calibri" w:cs="宋体"/>
          <w:kern w:val="0"/>
          <w:szCs w:val="32"/>
        </w:rPr>
        <w:t>探索环境污染责任保险、绿色建筑性能保险等创新型保险服务。推动绿色金融支持绿色低碳转型。积极争取全市碳排放权交易试点，探索在茶山竹海、松溉古镇等景区创建绿色低碳示范公园，支持城市绿色低碳转型，助推茶山竹海创建国家5A、松溉古镇创建4A级景区。</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三、推进绿色金融基础设施建设</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探索制定绿色融资主体（企业/项目）认定评价地方标准和认定评价模型，推动区内金融机构、企业、项目等开展绿色企业（项目）识别体系、绿色银行评级体系、绿色专营机构评价体系、绿色信用体系、绿色金融统计指标体系、绿色金融发展评价体系、金融风险防控体系等绿色金融标准体系建设。引导金融资源投向低碳能源、低碳工业、低碳交通、低碳建筑等低碳基础设施建设以及新技术、新材料、新能源、新装备等低碳项目。支持国内外第三方绿色评级与认证机构落户，引导认证机构、评级机构、会计师事务所、律师事务所等第三方机构参与绿色项目资质审核、绿色信用评级等绿色金融中介服务。探索绿色金融服务平台、绿色证券服务平台、绿色保险创新服务平台、绿色信用和公共信用信息平台、金融风险大数据监测平台等平台体系建设，加大绿色信息的披露和透明程度。</w:t>
      </w:r>
    </w:p>
    <w:p>
      <w:pPr>
        <w:widowControl w:val="0"/>
        <w:snapToGrid w:val="0"/>
        <w:spacing w:line="276" w:lineRule="auto"/>
        <w:ind w:firstLine="640" w:firstLineChars="200"/>
        <w:rPr>
          <w:rFonts w:hint="eastAsia" w:ascii="方正仿宋_GBK" w:hAnsi="Calibri" w:cs="宋体"/>
          <w:kern w:val="0"/>
          <w:szCs w:val="32"/>
        </w:rPr>
      </w:pPr>
    </w:p>
    <w:p>
      <w:pPr>
        <w:widowControl w:val="0"/>
        <w:snapToGrid w:val="0"/>
        <w:spacing w:before="0" w:after="0" w:line="276" w:lineRule="auto"/>
        <w:jc w:val="center"/>
        <w:rPr>
          <w:rFonts w:ascii="方正黑体_GBK" w:hAnsi="Calibri" w:eastAsia="方正黑体_GBK" w:cs="宋体"/>
          <w:kern w:val="0"/>
          <w:szCs w:val="32"/>
        </w:rPr>
      </w:pPr>
      <w:r>
        <w:rPr>
          <w:rFonts w:hint="eastAsia" w:ascii="方正黑体_GBK" w:hAnsi="Calibri" w:eastAsia="方正黑体_GBK" w:cs="宋体"/>
          <w:kern w:val="0"/>
          <w:szCs w:val="32"/>
        </w:rPr>
        <w:t>第三节  建设文旅金融创新示范区</w:t>
      </w:r>
    </w:p>
    <w:p>
      <w:pPr>
        <w:widowControl w:val="0"/>
        <w:snapToGrid w:val="0"/>
        <w:spacing w:line="276" w:lineRule="auto"/>
        <w:ind w:firstLine="640" w:firstLineChars="200"/>
        <w:rPr>
          <w:rFonts w:ascii="方正仿宋_GBK" w:hAnsi="Calibri" w:cs="宋体"/>
          <w:kern w:val="0"/>
          <w:szCs w:val="32"/>
        </w:rPr>
      </w:pP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依托凤凰湖公园，打造文旅基金公园，促进文旅基金项目及关联产业落户永川，促进基金产业集聚，壮大基金规模</w:t>
      </w:r>
      <w:r>
        <w:rPr>
          <w:rFonts w:hint="eastAsia" w:ascii="方正仿宋_GBK" w:hAnsi="Calibri" w:cs="宋体"/>
          <w:kern w:val="0"/>
          <w:szCs w:val="32"/>
        </w:rPr>
        <w:t>，</w:t>
      </w:r>
      <w:r>
        <w:rPr>
          <w:rFonts w:ascii="方正仿宋_GBK" w:hAnsi="Calibri" w:cs="宋体"/>
          <w:kern w:val="0"/>
          <w:szCs w:val="32"/>
        </w:rPr>
        <w:t>推动永川建设成为</w:t>
      </w:r>
      <w:r>
        <w:rPr>
          <w:rFonts w:hint="eastAsia" w:ascii="方正仿宋_GBK" w:hAnsi="Calibri" w:cs="宋体"/>
          <w:kern w:val="0"/>
          <w:szCs w:val="32"/>
        </w:rPr>
        <w:t>主城都市区</w:t>
      </w:r>
      <w:r>
        <w:rPr>
          <w:rFonts w:ascii="方正仿宋_GBK" w:hAnsi="Calibri" w:cs="宋体"/>
          <w:kern w:val="0"/>
          <w:szCs w:val="32"/>
        </w:rPr>
        <w:t>乃至成渝地区双城经济圈独具特色的文旅金融创新示范区。</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一、打造凤凰湖文旅基金公园</w:t>
      </w:r>
    </w:p>
    <w:p>
      <w:pPr>
        <w:widowControl w:val="0"/>
        <w:snapToGrid w:val="0"/>
        <w:spacing w:line="276" w:lineRule="auto"/>
        <w:ind w:firstLine="640" w:firstLineChars="200"/>
        <w:rPr>
          <w:rFonts w:hint="eastAsia" w:ascii="方正仿宋_GBK" w:hAnsi="Calibri" w:cs="宋体"/>
          <w:kern w:val="0"/>
          <w:szCs w:val="32"/>
        </w:rPr>
      </w:pPr>
      <w:r>
        <w:rPr>
          <w:rFonts w:hint="eastAsia" w:ascii="方正仿宋_GBK" w:hAnsi="Calibri" w:cs="宋体"/>
          <w:kern w:val="0"/>
          <w:szCs w:val="32"/>
        </w:rPr>
        <w:t>按照“政府推动、市场运作”的原则，依托凤凰湖公园，高标准、高质量推动凤凰湖文旅基金公园的规划建设。支持设立基金公园发展有限公司，开展基金公园的规划建设、市场化运营与管理。大力引进天使投资、夹层投资、创业投资、风险投资、并购基金，以及登记、结算、托管基金服务机构等。吸引从事资产管理和财富管理的银行、保险和券商等金融机构，以及财务、法律、评估、咨询服务中介机构以及各类研</w:t>
      </w:r>
      <w:r>
        <w:rPr>
          <w:rFonts w:ascii="方正仿宋_GBK" w:hAnsi="Calibri" w:cs="宋体"/>
          <w:kern w:val="0"/>
          <w:szCs w:val="32"/>
        </w:rPr>
        <w:t>究机构和研发中心入驻，丰富基金产业相关业态。探索中外合资股权投资基金、创业投资基金。到2025年末，引进基金公司</w:t>
      </w:r>
      <w:r>
        <w:rPr>
          <w:rFonts w:hint="eastAsia" w:ascii="方正仿宋_GBK" w:hAnsi="Calibri" w:cs="宋体"/>
          <w:kern w:val="0"/>
          <w:szCs w:val="32"/>
        </w:rPr>
        <w:t>10</w:t>
      </w:r>
      <w:r>
        <w:rPr>
          <w:rFonts w:ascii="方正仿宋_GBK" w:hAnsi="Calibri" w:cs="宋体"/>
          <w:kern w:val="0"/>
          <w:szCs w:val="32"/>
        </w:rPr>
        <w:t>家以上，基金规模达</w:t>
      </w:r>
      <w:r>
        <w:rPr>
          <w:rFonts w:hint="eastAsia" w:ascii="方正仿宋_GBK" w:hAnsi="Calibri" w:cs="宋体"/>
          <w:kern w:val="0"/>
          <w:szCs w:val="32"/>
        </w:rPr>
        <w:t>50</w:t>
      </w:r>
      <w:r>
        <w:rPr>
          <w:rFonts w:ascii="方正仿宋_GBK" w:hAnsi="Calibri" w:cs="宋体"/>
          <w:kern w:val="0"/>
          <w:szCs w:val="32"/>
        </w:rPr>
        <w:t>亿元，引导私募股权投资基金、创业投资基金等各类投资机构重点投资成渝地区双城经济圈及</w:t>
      </w:r>
      <w:r>
        <w:rPr>
          <w:rFonts w:hint="eastAsia" w:ascii="方正仿宋_GBK" w:hAnsi="Calibri" w:cs="宋体"/>
          <w:kern w:val="0"/>
          <w:szCs w:val="32"/>
        </w:rPr>
        <w:t>主城都市</w:t>
      </w:r>
      <w:r>
        <w:rPr>
          <w:rFonts w:ascii="方正仿宋_GBK" w:hAnsi="Calibri" w:cs="宋体"/>
          <w:kern w:val="0"/>
          <w:szCs w:val="32"/>
        </w:rPr>
        <w:t>区文旅产业，逐步形成区域影响力。</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依托凤凰湖良好的生态环境和文化旅游基础，设立文旅产业创业投资引导基金，着力引进优势基金项目入驻，包括证券投资基金、对冲基金、私募股权投资基金、创业投资基金、产业发展基金、政府引导基金，培育基金公园主导产业体系。促进基金与文旅产业融合，建立基金与文化和旅游企业之间的融通机制，使大量需要风险投资、创业投资、股权投资的企业能够到基金公园进行项目推介、路演，取得基金的投资和支持。建立实体经济和金融资本互</w:t>
      </w:r>
      <w:r>
        <w:rPr>
          <w:rFonts w:hint="eastAsia" w:ascii="方正仿宋_GBK" w:hAnsi="Calibri" w:cs="宋体"/>
          <w:kern w:val="0"/>
          <w:szCs w:val="32"/>
        </w:rPr>
        <w:t>通、一二级市场联动的价值增值平台，推动基金与“银、证、保”等金融机</w:t>
      </w:r>
      <w:r>
        <w:rPr>
          <w:rFonts w:ascii="方正仿宋_GBK" w:hAnsi="Calibri" w:cs="宋体"/>
          <w:kern w:val="0"/>
          <w:szCs w:val="32"/>
        </w:rPr>
        <w:t>构和金融业务深化合作，形成机构齐全、管理先进、</w:t>
      </w:r>
      <w:r>
        <w:rPr>
          <w:rFonts w:hint="eastAsia" w:ascii="方正仿宋_GBK" w:hAnsi="Calibri" w:cs="宋体"/>
          <w:kern w:val="0"/>
          <w:szCs w:val="32"/>
        </w:rPr>
        <w:t>市场运作的“基金全产业链”发展模式，提升基金公园的创新力、辐射力和影响力</w:t>
      </w:r>
      <w:r>
        <w:rPr>
          <w:rFonts w:ascii="方正仿宋_GBK" w:hAnsi="Calibri" w:cs="宋体"/>
          <w:kern w:val="0"/>
          <w:szCs w:val="32"/>
        </w:rPr>
        <w:t>。</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二、拓宽文旅项目融资渠道</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推进文旅企业直接融资。通过企业债、公司债、短期融资券、中期票据、中小企业集合票据等债务融资工具，进一步加强债券市场对文旅企业的支持力度。鼓励大中型文旅企业采取短期融资券、中期票据、资产支持票据等债务融资工具优化融资结构。支持具备高成长性的中小文旅企业通过发行集合债券、区域集优债券、行业集优债券、中小企业私募债等拓宽融资渠道。建立和完善中小文旅企业直接债务融资担保机制，协调落实中小文旅企业债务融资的风险缓释措施。加强对文旅企业上市的辅导培育，探索建立文旅企业上市资源储备库。鼓励文旅企业并购重组，实现文化和旅游资本跨地区、跨行业、跨所有制整合。</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鼓励社会资本支持和参与文旅产业发展。放宽市场准入，打破行业、地区壁垒，简化审批手续，为社会资本参与文旅产业发展营造公平竞争市场环境。积极引导民间资本、产业基金等多元化资金支持文旅产业发展。</w:t>
      </w:r>
      <w:r>
        <w:rPr>
          <w:rFonts w:hint="eastAsia" w:ascii="方正仿宋_GBK" w:hAnsi="Calibri" w:cs="宋体"/>
          <w:kern w:val="0"/>
          <w:szCs w:val="32"/>
        </w:rPr>
        <w:t>高质量建好政府投资基金，高水平运营政府投资基金，</w:t>
      </w:r>
      <w:r>
        <w:rPr>
          <w:rFonts w:ascii="方正仿宋_GBK" w:hAnsi="Calibri" w:cs="宋体"/>
          <w:kern w:val="0"/>
          <w:szCs w:val="32"/>
        </w:rPr>
        <w:t>充分发挥基金杠杆作用</w:t>
      </w:r>
      <w:r>
        <w:rPr>
          <w:rFonts w:hint="eastAsia" w:ascii="方正仿宋_GBK" w:hAnsi="Calibri" w:cs="宋体"/>
          <w:kern w:val="0"/>
          <w:szCs w:val="32"/>
        </w:rPr>
        <w:t>，引导社会资本合作设立或增资参股母（子）基金，加速资本、创新要素集聚，带动和引导社会投资更好的推动和保障全区产业经济发展。</w:t>
      </w:r>
      <w:r>
        <w:rPr>
          <w:rFonts w:ascii="方正仿宋_GBK" w:hAnsi="Calibri" w:cs="宋体"/>
          <w:kern w:val="0"/>
          <w:szCs w:val="32"/>
        </w:rPr>
        <w:t>鼓励通过财政补贴、贷款贴息等方式，引导社会资本加大对文旅产业的投资力度。</w:t>
      </w:r>
      <w:r>
        <w:rPr>
          <w:rFonts w:hint="eastAsia" w:ascii="方正仿宋_GBK" w:hAnsi="Calibri" w:cs="宋体"/>
          <w:kern w:val="0"/>
          <w:szCs w:val="32"/>
        </w:rPr>
        <w:t xml:space="preserve"> 到2025年，全区基金规模不断壮大，成倍撬动社会资本参与全区经济建设。</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三、创新文旅金融产品服务</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加快推动适合文旅企业特点的信贷产品和服务方式创新，鼓励银行业金融机构打造适合文旅企业特点的金融服务特色产品。针对文化企业特点，逐步扩大融资租赁贷款、应收账款质押融资、产业链融资、股权质押贷款等适合文化企业特点的信贷创新产品规模，探索开展无形资产抵（质）押贷款业务，拓宽文化企业贷款抵（质）押物的范围；综合运用统贷平台、集合授信等方式，加大对小微文化企业的融资支持。针对旅游企业特点，探索开展旅游景区经营权质押和门票收入权质押业务，积极开展旅游企业建设用地使用权抵押、林权抵押等抵质押贷款业务；积极为旅游企业提供固定资产贷款、项目融资贷款、流动资金贷款、融资租赁、票据贴现、资金结算、现金管理等综合金融服务；鼓励保险公司针对探险旅游、观光旅游、商务旅游等不同旅游方式，以及不同年龄群体，开发涵盖医疗救援、人身伤害、航班延误、旅程取消等保险产品。</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加大金融支持文旅消费力度。依托西部欢乐城、时尚消费城等，鼓励金融机构开发演出、院线、动漫、游戏、艺术品互联网交易等支付结算系统，提升文旅消费便利水平，完善演艺娱乐、景区观光、艺术品交易等行业的银行卡刷卡消费环境。鼓励发展文化消费信贷。</w:t>
      </w:r>
    </w:p>
    <w:p>
      <w:pPr>
        <w:widowControl w:val="0"/>
        <w:snapToGrid w:val="0"/>
        <w:spacing w:line="276" w:lineRule="auto"/>
        <w:ind w:firstLine="640" w:firstLineChars="200"/>
        <w:rPr>
          <w:rFonts w:ascii="方正仿宋_GBK" w:hAnsi="Calibri" w:cs="宋体"/>
          <w:kern w:val="0"/>
          <w:szCs w:val="32"/>
        </w:rPr>
      </w:pPr>
    </w:p>
    <w:p>
      <w:pPr>
        <w:widowControl w:val="0"/>
        <w:snapToGrid w:val="0"/>
        <w:spacing w:before="0" w:after="0" w:line="276" w:lineRule="auto"/>
        <w:jc w:val="center"/>
        <w:rPr>
          <w:rFonts w:ascii="方正黑体_GBK" w:hAnsi="Calibri" w:eastAsia="方正黑体_GBK" w:cs="宋体"/>
          <w:kern w:val="0"/>
          <w:szCs w:val="32"/>
        </w:rPr>
      </w:pPr>
      <w:r>
        <w:rPr>
          <w:rFonts w:hint="eastAsia" w:ascii="方正黑体_GBK" w:hAnsi="Calibri" w:eastAsia="方正黑体_GBK" w:cs="宋体"/>
          <w:kern w:val="0"/>
          <w:szCs w:val="32"/>
        </w:rPr>
        <w:t>第四节  建设普惠金融创新示范区</w:t>
      </w:r>
    </w:p>
    <w:p>
      <w:pPr>
        <w:widowControl w:val="0"/>
        <w:snapToGrid w:val="0"/>
        <w:spacing w:line="276" w:lineRule="auto"/>
        <w:ind w:firstLine="640" w:firstLineChars="200"/>
        <w:rPr>
          <w:rFonts w:ascii="方正仿宋_GBK" w:hAnsi="Calibri" w:cs="宋体"/>
          <w:kern w:val="0"/>
          <w:szCs w:val="32"/>
        </w:rPr>
      </w:pP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坚持政府引导与市场主导相结合，加快完善统筹城乡的金融服务体系，加大对经济发展薄弱环节的金融资源有效供给，健全普惠金融服务体系，探索建设普惠金融创新示范区。</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一、加大普惠金融信贷支持</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持续降低企业融资成本，推进小微企业贷款增量扩面。发挥财税政策作用，通过贴息、补贴、奖励等政策措施，激励和引导各类机构加大对</w:t>
      </w:r>
      <w:r>
        <w:rPr>
          <w:rFonts w:hint="eastAsia" w:ascii="方正仿宋_GBK" w:hAnsi="Calibri" w:cs="宋体"/>
          <w:kern w:val="0"/>
          <w:szCs w:val="32"/>
        </w:rPr>
        <w:t>小微企业、“三农”和民生尤其是</w:t>
      </w:r>
      <w:r>
        <w:rPr>
          <w:rFonts w:ascii="方正仿宋_GBK" w:hAnsi="Calibri" w:cs="宋体"/>
          <w:kern w:val="0"/>
          <w:szCs w:val="32"/>
        </w:rPr>
        <w:t>精准扶贫等领域的支持力度。充分发挥中小微企业转贷应急机制作用，建立转贷应急资金管理平台，化解中小微企业续贷难题。</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建立和完善农业信贷机制。积极开展农业信贷试点工作，加强与农行永川支行、市农担集团公司永川分公司、人保财险永川支公司等银行、担保、保险机构的对接联系，加大农业风险补偿贷款和农业担保风险补偿贷款的放款力度，加大风险补偿保证金投入力度和放贷力度。加强与相关金融机构的联系，延长农业风险补偿贷款周期</w:t>
      </w:r>
      <w:r>
        <w:rPr>
          <w:rFonts w:hint="eastAsia" w:ascii="方正仿宋_GBK" w:hAnsi="Calibri" w:cs="宋体"/>
          <w:kern w:val="0"/>
          <w:szCs w:val="32"/>
        </w:rPr>
        <w:t>和</w:t>
      </w:r>
      <w:r>
        <w:rPr>
          <w:rFonts w:ascii="方正仿宋_GBK" w:hAnsi="Calibri" w:cs="宋体"/>
          <w:kern w:val="0"/>
          <w:szCs w:val="32"/>
        </w:rPr>
        <w:t>农业担保风险补偿贷款周期，到期可续贷。开展农业设施及地上种植物登记抵押融资试点，深化农村产权制度改革。以茶叶产业为突破口，加强大安、宝峰、永荣等镇街茶园在权属登记、放贷支持、贷款扶持等方面的试点力度，同时，适时向果园、花椒园等其他农业产业推广。</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二、创新普惠金融产品服务</w:t>
      </w: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鼓励金融机构创新产品和服务方式。推广创新针对小微企业、高校毕业生、农户、特殊群体以及精准扶贫对象的小额贷款，开发适合残疾人和老年人特点的金融产品。进一步扩大中小企业债券融资规模，逐步扩大小微企业增信集合债券发行规模，支持符合条件的涉农企业在多层次资本市场融资，支持设立小微企业信用保证保险基金。创新担保产品，引导银行机构放宽传统风控下的抵（质）押担保措施，建立健全风险评价和管理模式，切实降低贷款准入门槛。</w:t>
      </w: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推进农村普惠型保险服务。进一步创新农业保险品种，加快基层农业保险服务网点建设。积极拓展农村小额信贷保险、扶贫保险及借款人意外险等普惠保险业务</w:t>
      </w:r>
      <w:r>
        <w:rPr>
          <w:rFonts w:hint="eastAsia" w:ascii="方正仿宋_GBK" w:hAnsi="Calibri" w:cs="宋体"/>
          <w:kern w:val="0"/>
          <w:szCs w:val="32"/>
        </w:rPr>
        <w:t>，探索“信贷+保险+担保+风险补偿”的创新</w:t>
      </w:r>
      <w:r>
        <w:rPr>
          <w:rFonts w:ascii="方正仿宋_GBK" w:hAnsi="Calibri" w:cs="宋体"/>
          <w:kern w:val="0"/>
          <w:szCs w:val="32"/>
        </w:rPr>
        <w:t>性普惠保险服务，继续扩大茶叶、蔬菜、食用菌、水稻、油菜等农作物种植保险。</w:t>
      </w:r>
    </w:p>
    <w:p>
      <w:pPr>
        <w:widowControl w:val="0"/>
        <w:snapToGrid w:val="0"/>
        <w:spacing w:line="276" w:lineRule="auto"/>
        <w:ind w:firstLine="640"/>
        <w:rPr>
          <w:rFonts w:ascii="方正黑体_GBK" w:hAnsi="Calibri" w:eastAsia="方正黑体_GBK" w:cs="宋体"/>
          <w:kern w:val="0"/>
          <w:szCs w:val="32"/>
        </w:rPr>
      </w:pPr>
      <w:r>
        <w:rPr>
          <w:rFonts w:hint="eastAsia" w:ascii="方正黑体_GBK" w:hAnsi="Calibri" w:eastAsia="方正黑体_GBK" w:cs="宋体"/>
          <w:kern w:val="0"/>
          <w:szCs w:val="32"/>
        </w:rPr>
        <w:t>三、改善农村金融发展环境</w:t>
      </w:r>
    </w:p>
    <w:p>
      <w:pPr>
        <w:widowControl w:val="0"/>
        <w:snapToGrid w:val="0"/>
        <w:spacing w:line="276" w:lineRule="auto"/>
        <w:ind w:firstLine="640"/>
        <w:rPr>
          <w:rFonts w:hint="eastAsia" w:ascii="方正仿宋_GBK" w:hAnsi="Calibri" w:cs="宋体"/>
          <w:kern w:val="0"/>
          <w:szCs w:val="32"/>
        </w:rPr>
      </w:pPr>
      <w:r>
        <w:rPr>
          <w:rFonts w:hint="eastAsia" w:ascii="方正仿宋_GBK" w:hAnsi="Calibri" w:cs="宋体"/>
          <w:kern w:val="0"/>
          <w:szCs w:val="32"/>
        </w:rPr>
        <w:t>加强农村服务网点建设。引导金融机构网点布局向农村地区下沉，重点加快推动偏远困难地区的农村基础金融服务。鼓励银行机构和非银行支付机构面向农村地区提供网络和移动支付服务，鼓励商业银行代理农村地区金融服务机构支付结算业务；完善“惠农通”、乡村POS终端等自助设备的服务功能，拓展银行卡助农取款服务广度和深度。</w:t>
      </w:r>
    </w:p>
    <w:p>
      <w:pPr>
        <w:widowControl w:val="0"/>
        <w:snapToGrid w:val="0"/>
        <w:spacing w:line="276" w:lineRule="auto"/>
        <w:ind w:firstLine="641"/>
        <w:rPr>
          <w:rFonts w:ascii="方正仿宋_GBK" w:hAnsi="Calibri" w:cs="宋体"/>
          <w:kern w:val="0"/>
          <w:szCs w:val="32"/>
        </w:rPr>
      </w:pPr>
      <w:r>
        <w:rPr>
          <w:rFonts w:ascii="方正仿宋_GBK" w:hAnsi="Calibri" w:cs="宋体"/>
          <w:kern w:val="0"/>
          <w:szCs w:val="32"/>
        </w:rPr>
        <w:t>开展农村信用体系建设。加快布局试点农村信用乡镇（街道）、信用村、信用社，加大试点乡镇（街道）的信用信息推广工作，扩大重点培植对象范围，</w:t>
      </w:r>
      <w:r>
        <w:rPr>
          <w:rFonts w:hint="eastAsia" w:ascii="方正仿宋_GBK" w:hAnsi="Calibri" w:cs="宋体"/>
          <w:kern w:val="0"/>
          <w:szCs w:val="32"/>
          <w:lang w:eastAsia="zh-CN"/>
        </w:rPr>
        <w:t>建立</w:t>
      </w:r>
      <w:r>
        <w:rPr>
          <w:rFonts w:ascii="方正仿宋_GBK" w:hAnsi="Calibri" w:cs="宋体"/>
          <w:kern w:val="0"/>
          <w:szCs w:val="32"/>
        </w:rPr>
        <w:t>健全</w:t>
      </w:r>
      <w:bookmarkStart w:id="62" w:name="_GoBack"/>
      <w:bookmarkEnd w:id="62"/>
      <w:r>
        <w:rPr>
          <w:rFonts w:ascii="方正仿宋_GBK" w:hAnsi="Calibri" w:cs="宋体"/>
          <w:kern w:val="0"/>
          <w:szCs w:val="32"/>
        </w:rPr>
        <w:t>评价机制，加快推进农户小额贷款、</w:t>
      </w:r>
      <w:r>
        <w:rPr>
          <w:rFonts w:hint="eastAsia" w:ascii="方正仿宋_GBK" w:hAnsi="Calibri" w:cs="宋体"/>
          <w:kern w:val="0"/>
          <w:szCs w:val="32"/>
        </w:rPr>
        <w:t>农村“三权”抵押</w:t>
      </w:r>
      <w:r>
        <w:rPr>
          <w:rFonts w:ascii="方正仿宋_GBK" w:hAnsi="Calibri" w:cs="宋体"/>
          <w:kern w:val="0"/>
          <w:szCs w:val="32"/>
        </w:rPr>
        <w:t>贷款、农村中小企业信用贷款。发挥信用引导信贷资金配置的激励作用，逐步实现银行与信用村、信用乡镇（街道）的业务对接，逐步加大金融</w:t>
      </w:r>
      <w:r>
        <w:rPr>
          <w:rFonts w:hint="eastAsia" w:ascii="方正仿宋_GBK" w:hAnsi="Calibri" w:cs="宋体"/>
          <w:kern w:val="0"/>
          <w:szCs w:val="32"/>
        </w:rPr>
        <w:t>机构对“三农”的</w:t>
      </w:r>
      <w:r>
        <w:rPr>
          <w:rFonts w:ascii="方正仿宋_GBK" w:hAnsi="Calibri" w:cs="宋体"/>
          <w:kern w:val="0"/>
          <w:szCs w:val="32"/>
        </w:rPr>
        <w:t>金融支持力度。</w:t>
      </w:r>
    </w:p>
    <w:tbl>
      <w:tblPr>
        <w:tblStyle w:val="7"/>
        <w:tblW w:w="8959" w:type="dxa"/>
        <w:jc w:val="center"/>
        <w:tblLayout w:type="fixed"/>
        <w:tblCellMar>
          <w:top w:w="0" w:type="dxa"/>
          <w:left w:w="108" w:type="dxa"/>
          <w:bottom w:w="0" w:type="dxa"/>
          <w:right w:w="108" w:type="dxa"/>
        </w:tblCellMar>
      </w:tblPr>
      <w:tblGrid>
        <w:gridCol w:w="8959"/>
      </w:tblGrid>
      <w:tr>
        <w:tblPrEx>
          <w:tblCellMar>
            <w:top w:w="0" w:type="dxa"/>
            <w:left w:w="108" w:type="dxa"/>
            <w:bottom w:w="0" w:type="dxa"/>
            <w:right w:w="108" w:type="dxa"/>
          </w:tblCellMar>
        </w:tblPrEx>
        <w:trPr>
          <w:trHeight w:val="531" w:hRule="atLeast"/>
          <w:jc w:val="center"/>
        </w:trPr>
        <w:tc>
          <w:tcPr>
            <w:tcW w:w="8959"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方正黑体_GBK" w:hAnsi="Calibri" w:eastAsia="方正黑体_GBK" w:cs="宋体"/>
                <w:kern w:val="0"/>
                <w:sz w:val="24"/>
                <w:szCs w:val="24"/>
              </w:rPr>
            </w:pPr>
            <w:r>
              <w:rPr>
                <w:rFonts w:hint="eastAsia" w:ascii="方正黑体_GBK" w:hAnsi="Calibri" w:eastAsia="方正黑体_GBK" w:cs="宋体"/>
                <w:kern w:val="0"/>
                <w:sz w:val="24"/>
                <w:szCs w:val="24"/>
              </w:rPr>
              <w:t>专栏11：农业银行永川支行支持农村信用体系建设示例</w:t>
            </w:r>
          </w:p>
        </w:tc>
      </w:tr>
      <w:tr>
        <w:tblPrEx>
          <w:tblCellMar>
            <w:top w:w="0" w:type="dxa"/>
            <w:left w:w="108" w:type="dxa"/>
            <w:bottom w:w="0" w:type="dxa"/>
            <w:right w:w="108" w:type="dxa"/>
          </w:tblCellMar>
        </w:tblPrEx>
        <w:trPr>
          <w:trHeight w:val="1665" w:hRule="atLeast"/>
          <w:jc w:val="center"/>
        </w:trPr>
        <w:tc>
          <w:tcPr>
            <w:tcW w:w="8959"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rPr>
                <w:rFonts w:eastAsia="宋体"/>
                <w:kern w:val="0"/>
                <w:sz w:val="24"/>
                <w:szCs w:val="24"/>
              </w:rPr>
            </w:pPr>
            <w:r>
              <w:rPr>
                <w:rFonts w:hint="eastAsia" w:ascii="方正仿宋_GBK" w:hAnsi="Calibri" w:cs="宋体"/>
                <w:kern w:val="0"/>
                <w:sz w:val="24"/>
                <w:szCs w:val="24"/>
              </w:rPr>
              <w:t xml:space="preserve">    </w:t>
            </w:r>
            <w:r>
              <w:rPr>
                <w:rFonts w:ascii="方正仿宋_GBK" w:hAnsi="Calibri" w:cs="宋体"/>
                <w:kern w:val="0"/>
                <w:sz w:val="24"/>
                <w:szCs w:val="24"/>
              </w:rPr>
              <w:t>农业银行永川支行紧</w:t>
            </w:r>
            <w:r>
              <w:rPr>
                <w:rFonts w:hint="eastAsia" w:ascii="方正仿宋_GBK" w:hAnsi="Calibri" w:cs="宋体"/>
                <w:kern w:val="0"/>
                <w:sz w:val="24"/>
                <w:szCs w:val="24"/>
              </w:rPr>
              <w:t>跟“三变”改革，推动农</w:t>
            </w:r>
            <w:r>
              <w:rPr>
                <w:rFonts w:ascii="方正仿宋_GBK" w:hAnsi="Calibri" w:cs="宋体"/>
                <w:kern w:val="0"/>
                <w:sz w:val="24"/>
                <w:szCs w:val="24"/>
              </w:rPr>
              <w:t>户信息建档精准识别对象，采</w:t>
            </w:r>
            <w:r>
              <w:rPr>
                <w:rFonts w:hint="eastAsia" w:ascii="方正仿宋_GBK" w:hAnsi="Calibri" w:cs="宋体"/>
                <w:kern w:val="0"/>
                <w:sz w:val="24"/>
                <w:szCs w:val="24"/>
              </w:rPr>
              <w:t>用“整村推进+优先建档”的模</w:t>
            </w:r>
            <w:r>
              <w:rPr>
                <w:rFonts w:ascii="方正仿宋_GBK" w:hAnsi="Calibri" w:cs="宋体"/>
                <w:kern w:val="0"/>
                <w:sz w:val="24"/>
                <w:szCs w:val="24"/>
              </w:rPr>
              <w:t>式全力支持信用村、信用社建设，同时加大对永川区乡村振兴重点示范区域、示范村、种养殖大户、家庭农场主的支持，2020年累计投放惠农e贷2亿元、农户贷款10亿元、农家乐贷款7500万元。</w:t>
            </w:r>
          </w:p>
        </w:tc>
      </w:tr>
    </w:tbl>
    <w:p>
      <w:pPr>
        <w:widowControl w:val="0"/>
        <w:snapToGrid w:val="0"/>
        <w:spacing w:before="0" w:after="0" w:line="276" w:lineRule="auto"/>
        <w:ind w:firstLine="641"/>
        <w:jc w:val="left"/>
        <w:rPr>
          <w:rFonts w:hint="default" w:ascii="方正仿宋_GBK" w:hAnsi="Calibri" w:eastAsia="方正仿宋_GBK" w:cs="宋体"/>
          <w:kern w:val="0"/>
          <w:sz w:val="32"/>
          <w:szCs w:val="32"/>
        </w:rPr>
      </w:pPr>
    </w:p>
    <w:p>
      <w:pPr>
        <w:widowControl w:val="0"/>
        <w:snapToGrid w:val="0"/>
        <w:spacing w:before="0" w:after="0" w:line="276" w:lineRule="auto"/>
        <w:jc w:val="center"/>
        <w:rPr>
          <w:rFonts w:hint="eastAsia" w:ascii="方正黑体_GBK" w:hAnsi="Calibri" w:eastAsia="方正黑体_GBK" w:cs="宋体"/>
          <w:kern w:val="0"/>
          <w:sz w:val="32"/>
          <w:szCs w:val="32"/>
        </w:rPr>
      </w:pPr>
      <w:r>
        <w:rPr>
          <w:rFonts w:hint="eastAsia" w:ascii="方正黑体_GBK" w:hAnsi="Calibri" w:eastAsia="方正黑体_GBK" w:cs="宋体"/>
          <w:kern w:val="0"/>
          <w:sz w:val="32"/>
          <w:szCs w:val="32"/>
        </w:rPr>
        <w:t>第八章  严守金融安全底线</w:t>
      </w:r>
    </w:p>
    <w:p>
      <w:pPr>
        <w:widowControl w:val="0"/>
        <w:snapToGrid w:val="0"/>
        <w:spacing w:line="276" w:lineRule="auto"/>
        <w:ind w:firstLine="641"/>
        <w:rPr>
          <w:rFonts w:ascii="方正仿宋_GBK" w:hAnsi="Calibri" w:cs="宋体"/>
          <w:kern w:val="0"/>
          <w:szCs w:val="32"/>
        </w:rPr>
      </w:pPr>
    </w:p>
    <w:p>
      <w:pPr>
        <w:widowControl w:val="0"/>
        <w:snapToGrid w:val="0"/>
        <w:spacing w:line="276" w:lineRule="auto"/>
        <w:ind w:firstLine="641"/>
        <w:rPr>
          <w:rFonts w:ascii="方正仿宋_GBK" w:hAnsi="Calibri" w:cs="宋体"/>
          <w:kern w:val="0"/>
          <w:szCs w:val="32"/>
        </w:rPr>
      </w:pPr>
      <w:r>
        <w:rPr>
          <w:rFonts w:ascii="方正仿宋_GBK" w:hAnsi="Calibri" w:cs="宋体"/>
          <w:kern w:val="0"/>
          <w:szCs w:val="32"/>
        </w:rPr>
        <w:t>持续加强金融市场风险防范，不断完善地方金融监管的政策机制，增强金融风险监测预警，妥善做好金融风险处置，努力营造良好金融生态环境。</w:t>
      </w:r>
    </w:p>
    <w:p>
      <w:pPr>
        <w:widowControl w:val="0"/>
        <w:snapToGrid w:val="0"/>
        <w:spacing w:line="276" w:lineRule="auto"/>
        <w:ind w:firstLine="641"/>
        <w:rPr>
          <w:rFonts w:hint="eastAsia" w:ascii="方正仿宋_GBK" w:hAnsi="Calibri" w:cs="宋体"/>
          <w:kern w:val="0"/>
          <w:szCs w:val="32"/>
        </w:rPr>
      </w:pPr>
    </w:p>
    <w:p>
      <w:pPr>
        <w:widowControl w:val="0"/>
        <w:snapToGrid w:val="0"/>
        <w:spacing w:before="0" w:after="0" w:line="276" w:lineRule="auto"/>
        <w:jc w:val="center"/>
        <w:rPr>
          <w:rFonts w:ascii="方正黑体_GBK" w:hAnsi="Calibri" w:eastAsia="方正黑体_GBK" w:cs="宋体"/>
          <w:kern w:val="0"/>
          <w:szCs w:val="32"/>
        </w:rPr>
      </w:pPr>
      <w:r>
        <w:rPr>
          <w:rFonts w:hint="eastAsia" w:ascii="方正黑体_GBK" w:hAnsi="Calibri" w:eastAsia="方正黑体_GBK" w:cs="宋体"/>
          <w:kern w:val="0"/>
          <w:szCs w:val="32"/>
        </w:rPr>
        <w:t>第一节  完善金融监管政策机制</w:t>
      </w:r>
    </w:p>
    <w:p>
      <w:pPr>
        <w:widowControl w:val="0"/>
        <w:snapToGrid w:val="0"/>
        <w:spacing w:line="276" w:lineRule="auto"/>
        <w:ind w:firstLine="641"/>
        <w:rPr>
          <w:rFonts w:ascii="方正仿宋_GBK" w:hAnsi="Calibri" w:cs="宋体"/>
          <w:kern w:val="0"/>
          <w:szCs w:val="32"/>
        </w:rPr>
      </w:pPr>
    </w:p>
    <w:p>
      <w:pPr>
        <w:widowControl w:val="0"/>
        <w:snapToGrid w:val="0"/>
        <w:spacing w:line="276" w:lineRule="auto"/>
        <w:ind w:firstLine="641"/>
        <w:rPr>
          <w:rFonts w:ascii="方正仿宋_GBK" w:hAnsi="Calibri" w:cs="宋体"/>
          <w:kern w:val="0"/>
          <w:szCs w:val="32"/>
        </w:rPr>
      </w:pPr>
      <w:r>
        <w:rPr>
          <w:rFonts w:ascii="方正仿宋_GBK" w:hAnsi="Calibri" w:cs="宋体"/>
          <w:kern w:val="0"/>
          <w:szCs w:val="32"/>
        </w:rPr>
        <w:t>完善金融监管部门与金融行业单位的工作联系机制，及时传达、贯彻国家和市有关金融法律、法规和政策。进一步完善金融监管的法规政策体系。重点在政府性投融资管理、政策性金融机构监管等方面出台管理办法，疏堵监管漏洞。进一步完善民间借贷、互联网金融等新兴融资方式的监管政策，严厉打击非法集资等危害金融秩序的借贷行为。</w:t>
      </w:r>
    </w:p>
    <w:p>
      <w:pPr>
        <w:widowControl w:val="0"/>
        <w:snapToGrid w:val="0"/>
        <w:spacing w:line="276" w:lineRule="auto"/>
        <w:ind w:firstLine="641"/>
        <w:rPr>
          <w:rFonts w:hint="eastAsia" w:ascii="方正仿宋_GBK" w:hAnsi="Calibri" w:cs="宋体"/>
          <w:kern w:val="0"/>
          <w:szCs w:val="32"/>
        </w:rPr>
      </w:pPr>
    </w:p>
    <w:p>
      <w:pPr>
        <w:widowControl w:val="0"/>
        <w:snapToGrid w:val="0"/>
        <w:spacing w:before="0" w:after="0" w:line="276" w:lineRule="auto"/>
        <w:jc w:val="center"/>
        <w:rPr>
          <w:rFonts w:ascii="方正黑体_GBK" w:hAnsi="Calibri" w:eastAsia="方正黑体_GBK" w:cs="宋体"/>
          <w:kern w:val="0"/>
          <w:szCs w:val="32"/>
        </w:rPr>
      </w:pPr>
      <w:r>
        <w:rPr>
          <w:rFonts w:hint="eastAsia" w:ascii="方正黑体_GBK" w:hAnsi="Calibri" w:eastAsia="方正黑体_GBK" w:cs="宋体"/>
          <w:kern w:val="0"/>
          <w:szCs w:val="32"/>
        </w:rPr>
        <w:t>第二节  增强金融风险监测预警</w:t>
      </w:r>
    </w:p>
    <w:p>
      <w:pPr>
        <w:widowControl w:val="0"/>
        <w:snapToGrid w:val="0"/>
        <w:spacing w:line="276" w:lineRule="auto"/>
        <w:ind w:firstLine="641"/>
        <w:rPr>
          <w:rFonts w:ascii="方正仿宋_GBK" w:hAnsi="Calibri" w:cs="宋体"/>
          <w:kern w:val="0"/>
          <w:szCs w:val="32"/>
        </w:rPr>
      </w:pPr>
    </w:p>
    <w:p>
      <w:pPr>
        <w:widowControl w:val="0"/>
        <w:snapToGrid w:val="0"/>
        <w:spacing w:line="276" w:lineRule="auto"/>
        <w:ind w:firstLine="641"/>
        <w:rPr>
          <w:rFonts w:ascii="方正仿宋_GBK" w:hAnsi="Calibri" w:cs="宋体"/>
          <w:kern w:val="0"/>
          <w:szCs w:val="32"/>
        </w:rPr>
      </w:pPr>
      <w:r>
        <w:rPr>
          <w:rFonts w:ascii="方正仿宋_GBK" w:hAnsi="Calibri" w:cs="宋体"/>
          <w:kern w:val="0"/>
          <w:szCs w:val="32"/>
        </w:rPr>
        <w:t>协同人民银行重庆营管部、重庆银保监局在永分支机构，支持银行、证券、保险等行业完善监管信息系统。健全小贷公司、融资担保公司等新型金融机构非现场监管系统，提高实时监测和纠错能力，形成在线监测预警和常态化管理机制。探索监管数据系统和机构风险管控系统的有效对接，进一步增强风险监测的准确性和风险预警的及时性。</w:t>
      </w:r>
    </w:p>
    <w:p>
      <w:pPr>
        <w:widowControl w:val="0"/>
        <w:snapToGrid w:val="0"/>
        <w:spacing w:line="276" w:lineRule="auto"/>
        <w:ind w:firstLine="641"/>
        <w:rPr>
          <w:rFonts w:hint="eastAsia" w:ascii="方正仿宋_GBK" w:hAnsi="Calibri" w:cs="宋体"/>
          <w:kern w:val="0"/>
          <w:szCs w:val="32"/>
        </w:rPr>
      </w:pPr>
    </w:p>
    <w:p>
      <w:pPr>
        <w:widowControl w:val="0"/>
        <w:snapToGrid w:val="0"/>
        <w:spacing w:before="0" w:after="0" w:line="276" w:lineRule="auto"/>
        <w:jc w:val="center"/>
        <w:rPr>
          <w:rFonts w:ascii="方正黑体_GBK" w:hAnsi="Calibri" w:eastAsia="方正黑体_GBK" w:cs="宋体"/>
          <w:kern w:val="0"/>
          <w:szCs w:val="32"/>
        </w:rPr>
      </w:pPr>
      <w:r>
        <w:rPr>
          <w:rFonts w:hint="eastAsia" w:ascii="方正黑体_GBK" w:hAnsi="Calibri" w:eastAsia="方正黑体_GBK" w:cs="宋体"/>
          <w:kern w:val="0"/>
          <w:szCs w:val="32"/>
        </w:rPr>
        <w:t>第三节  妥善做好金融风险处置</w:t>
      </w:r>
    </w:p>
    <w:p>
      <w:pPr>
        <w:widowControl w:val="0"/>
        <w:snapToGrid w:val="0"/>
        <w:spacing w:line="276" w:lineRule="auto"/>
        <w:ind w:firstLine="641"/>
        <w:rPr>
          <w:rFonts w:ascii="方正仿宋_GBK" w:hAnsi="Calibri" w:cs="宋体"/>
          <w:kern w:val="0"/>
          <w:szCs w:val="32"/>
        </w:rPr>
      </w:pPr>
    </w:p>
    <w:p>
      <w:pPr>
        <w:widowControl w:val="0"/>
        <w:snapToGrid w:val="0"/>
        <w:spacing w:line="276" w:lineRule="auto"/>
        <w:ind w:firstLine="641"/>
        <w:rPr>
          <w:rFonts w:ascii="方正仿宋_GBK" w:hAnsi="Calibri" w:cs="宋体"/>
          <w:kern w:val="0"/>
          <w:szCs w:val="32"/>
        </w:rPr>
      </w:pPr>
      <w:r>
        <w:rPr>
          <w:rFonts w:ascii="方正仿宋_GBK" w:hAnsi="Calibri" w:cs="宋体"/>
          <w:kern w:val="0"/>
          <w:szCs w:val="32"/>
        </w:rPr>
        <w:t>健全金融突发公共事件应急处置方案，形成及时、高效的风险处置协调机制。依法打击非法集资、非法证券和骗保骗赔等非法金融活动和金融违法违规行为，及时应对金融突发事件，化解处置机构风险，守住不发生系统性、区域性金融风险的底线。加强金融消费者权益保护，畅通投诉受理和处理渠道。</w:t>
      </w:r>
    </w:p>
    <w:p>
      <w:pPr>
        <w:widowControl w:val="0"/>
        <w:snapToGrid w:val="0"/>
        <w:spacing w:line="276" w:lineRule="auto"/>
        <w:ind w:firstLine="641"/>
        <w:rPr>
          <w:rFonts w:hint="eastAsia" w:ascii="方正仿宋_GBK" w:hAnsi="Calibri" w:cs="宋体"/>
          <w:kern w:val="0"/>
          <w:szCs w:val="32"/>
        </w:rPr>
      </w:pPr>
    </w:p>
    <w:p>
      <w:pPr>
        <w:widowControl w:val="0"/>
        <w:snapToGrid w:val="0"/>
        <w:spacing w:before="0" w:after="0" w:line="276" w:lineRule="auto"/>
        <w:jc w:val="center"/>
        <w:rPr>
          <w:rFonts w:hint="eastAsia" w:ascii="方正黑体_GBK" w:hAnsi="Calibri" w:eastAsia="方正黑体_GBK" w:cs="宋体"/>
          <w:kern w:val="0"/>
          <w:sz w:val="32"/>
          <w:szCs w:val="32"/>
        </w:rPr>
      </w:pPr>
      <w:r>
        <w:rPr>
          <w:rFonts w:hint="eastAsia" w:ascii="方正黑体_GBK" w:hAnsi="Calibri" w:eastAsia="方正黑体_GBK" w:cs="宋体"/>
          <w:kern w:val="0"/>
          <w:sz w:val="32"/>
          <w:szCs w:val="32"/>
        </w:rPr>
        <w:t>第九章  保障措施</w:t>
      </w:r>
    </w:p>
    <w:p>
      <w:pPr>
        <w:widowControl w:val="0"/>
        <w:snapToGrid w:val="0"/>
        <w:spacing w:line="276" w:lineRule="auto"/>
        <w:ind w:firstLine="641"/>
        <w:rPr>
          <w:rFonts w:ascii="方正仿宋_GBK" w:hAnsi="Calibri" w:cs="宋体"/>
          <w:kern w:val="0"/>
          <w:szCs w:val="32"/>
        </w:rPr>
      </w:pPr>
    </w:p>
    <w:p>
      <w:pPr>
        <w:widowControl w:val="0"/>
        <w:snapToGrid w:val="0"/>
        <w:spacing w:line="276" w:lineRule="auto"/>
        <w:ind w:firstLine="641"/>
        <w:rPr>
          <w:rFonts w:ascii="方正仿宋_GBK" w:hAnsi="Calibri" w:cs="宋体"/>
          <w:kern w:val="0"/>
          <w:szCs w:val="32"/>
        </w:rPr>
      </w:pPr>
      <w:r>
        <w:rPr>
          <w:rFonts w:ascii="方正仿宋_GBK" w:hAnsi="Calibri" w:cs="宋体"/>
          <w:kern w:val="0"/>
          <w:szCs w:val="32"/>
        </w:rPr>
        <w:t>不断强化组织建设与规划引导，提高行政服务水平。发挥政府组织领导职能，强化金融资源统筹和政策支持，推动人才队伍建设。</w:t>
      </w:r>
    </w:p>
    <w:p>
      <w:pPr>
        <w:widowControl w:val="0"/>
        <w:snapToGrid w:val="0"/>
        <w:spacing w:line="276" w:lineRule="auto"/>
        <w:ind w:firstLine="641"/>
        <w:rPr>
          <w:rFonts w:hint="eastAsia" w:ascii="方正仿宋_GBK" w:hAnsi="Calibri" w:cs="宋体"/>
          <w:kern w:val="0"/>
          <w:szCs w:val="32"/>
        </w:rPr>
      </w:pPr>
    </w:p>
    <w:p>
      <w:pPr>
        <w:widowControl w:val="0"/>
        <w:snapToGrid w:val="0"/>
        <w:spacing w:before="0" w:after="0" w:line="276" w:lineRule="auto"/>
        <w:jc w:val="center"/>
        <w:rPr>
          <w:rFonts w:ascii="方正黑体_GBK" w:hAnsi="Calibri" w:eastAsia="方正黑体_GBK" w:cs="宋体"/>
          <w:kern w:val="0"/>
          <w:szCs w:val="32"/>
        </w:rPr>
      </w:pPr>
      <w:r>
        <w:rPr>
          <w:rFonts w:hint="eastAsia" w:ascii="方正黑体_GBK" w:hAnsi="Calibri" w:eastAsia="方正黑体_GBK" w:cs="宋体"/>
          <w:kern w:val="0"/>
          <w:szCs w:val="32"/>
        </w:rPr>
        <w:t>第一节  加强组织领导</w:t>
      </w:r>
    </w:p>
    <w:p>
      <w:pPr>
        <w:widowControl w:val="0"/>
        <w:snapToGrid w:val="0"/>
        <w:spacing w:line="276" w:lineRule="auto"/>
        <w:ind w:firstLine="641"/>
        <w:rPr>
          <w:rFonts w:ascii="方正仿宋_GBK" w:hAnsi="Calibri" w:cs="宋体"/>
          <w:kern w:val="0"/>
          <w:szCs w:val="32"/>
        </w:rPr>
      </w:pPr>
    </w:p>
    <w:p>
      <w:pPr>
        <w:widowControl w:val="0"/>
        <w:snapToGrid w:val="0"/>
        <w:spacing w:line="276" w:lineRule="auto"/>
        <w:ind w:firstLine="641"/>
        <w:rPr>
          <w:rFonts w:ascii="方正仿宋_GBK" w:hAnsi="Calibri" w:cs="宋体"/>
          <w:kern w:val="0"/>
          <w:szCs w:val="32"/>
        </w:rPr>
      </w:pPr>
      <w:r>
        <w:rPr>
          <w:rFonts w:ascii="方正仿宋_GBK" w:hAnsi="Calibri" w:cs="宋体"/>
          <w:kern w:val="0"/>
          <w:szCs w:val="32"/>
        </w:rPr>
        <w:t>进一步发挥区金融工作领导小组职能，统筹协调、研究解决金融业发展中面临的重大问题。充分调动各部门参与金融规划实施的积极性，按照各自职能履职尽责，加强协作，密切配合，形成工作合力，构建完善一站式、立体化金融服务体系。区金融办牵头建立考核督查机制，实时动态监测和跟踪分析，加强与规划的衔接，切实推进规划落实及重大项目落地。</w:t>
      </w:r>
    </w:p>
    <w:p>
      <w:pPr>
        <w:widowControl w:val="0"/>
        <w:snapToGrid w:val="0"/>
        <w:spacing w:line="276" w:lineRule="auto"/>
        <w:ind w:firstLine="641"/>
        <w:rPr>
          <w:rFonts w:hint="eastAsia" w:ascii="方正仿宋_GBK" w:hAnsi="Calibri" w:cs="宋体"/>
          <w:kern w:val="0"/>
          <w:szCs w:val="32"/>
        </w:rPr>
      </w:pPr>
    </w:p>
    <w:p>
      <w:pPr>
        <w:widowControl w:val="0"/>
        <w:snapToGrid w:val="0"/>
        <w:spacing w:before="0" w:after="0" w:line="276" w:lineRule="auto"/>
        <w:jc w:val="center"/>
        <w:rPr>
          <w:rFonts w:ascii="方正黑体_GBK" w:hAnsi="Calibri" w:eastAsia="方正黑体_GBK" w:cs="宋体"/>
          <w:kern w:val="0"/>
          <w:szCs w:val="32"/>
        </w:rPr>
      </w:pPr>
      <w:r>
        <w:rPr>
          <w:rFonts w:hint="eastAsia" w:ascii="方正黑体_GBK" w:hAnsi="Calibri" w:eastAsia="方正黑体_GBK" w:cs="宋体"/>
          <w:kern w:val="0"/>
          <w:szCs w:val="32"/>
        </w:rPr>
        <w:t>第二节  加大政策支持</w:t>
      </w:r>
    </w:p>
    <w:p>
      <w:pPr>
        <w:widowControl w:val="0"/>
        <w:snapToGrid w:val="0"/>
        <w:spacing w:line="276" w:lineRule="auto"/>
        <w:ind w:firstLine="640" w:firstLineChars="200"/>
        <w:rPr>
          <w:rFonts w:ascii="方正仿宋_GBK" w:hAnsi="Calibri" w:cs="宋体"/>
          <w:kern w:val="0"/>
          <w:szCs w:val="32"/>
        </w:rPr>
      </w:pPr>
    </w:p>
    <w:p>
      <w:pPr>
        <w:widowControl w:val="0"/>
        <w:snapToGrid w:val="0"/>
        <w:spacing w:line="276" w:lineRule="auto"/>
        <w:ind w:firstLine="640" w:firstLineChars="200"/>
        <w:rPr>
          <w:rFonts w:ascii="方正仿宋_GBK" w:hAnsi="Calibri" w:cs="宋体"/>
          <w:kern w:val="0"/>
          <w:szCs w:val="32"/>
        </w:rPr>
      </w:pPr>
      <w:r>
        <w:rPr>
          <w:rFonts w:ascii="方正仿宋_GBK" w:hAnsi="Calibri" w:cs="宋体"/>
          <w:kern w:val="0"/>
          <w:szCs w:val="32"/>
        </w:rPr>
        <w:t>积极争取市级层面的政策支持和指导，健全金融创新发展政策支持体系，完善财政政策、税收政策、人才政策等，健全财政各类贴息、贴费、补贴、奖励等机制，完善农村产权抵押融资、小微企业贷款等风险补偿制度和机制，引导金融机构加强对薄弱领域的服务，加大对新引进金融机构、挂牌上市融资企业的政策扶持力度。加强对金融政策落实情况的跟踪，构建合理的政策实施反馈机制，加强部门协调与合作。</w:t>
      </w:r>
    </w:p>
    <w:p>
      <w:pPr>
        <w:widowControl w:val="0"/>
        <w:snapToGrid w:val="0"/>
        <w:spacing w:line="276" w:lineRule="auto"/>
        <w:ind w:firstLine="640" w:firstLineChars="200"/>
        <w:rPr>
          <w:rFonts w:hint="eastAsia" w:ascii="方正仿宋_GBK" w:hAnsi="Calibri" w:cs="宋体"/>
          <w:kern w:val="0"/>
          <w:szCs w:val="32"/>
        </w:rPr>
      </w:pPr>
    </w:p>
    <w:p>
      <w:pPr>
        <w:widowControl w:val="0"/>
        <w:snapToGrid w:val="0"/>
        <w:spacing w:before="0" w:after="0" w:line="276" w:lineRule="auto"/>
        <w:jc w:val="center"/>
        <w:rPr>
          <w:rFonts w:ascii="方正黑体_GBK" w:hAnsi="Calibri" w:eastAsia="方正黑体_GBK" w:cs="宋体"/>
          <w:kern w:val="0"/>
          <w:szCs w:val="32"/>
        </w:rPr>
      </w:pPr>
      <w:r>
        <w:rPr>
          <w:rFonts w:hint="eastAsia" w:ascii="方正黑体_GBK" w:hAnsi="Calibri" w:eastAsia="方正黑体_GBK" w:cs="宋体"/>
          <w:kern w:val="0"/>
          <w:szCs w:val="32"/>
        </w:rPr>
        <w:t>第三节  加强资源统筹</w:t>
      </w:r>
    </w:p>
    <w:p>
      <w:pPr>
        <w:widowControl w:val="0"/>
        <w:snapToGrid w:val="0"/>
        <w:spacing w:line="276" w:lineRule="auto"/>
        <w:ind w:firstLine="640" w:firstLineChars="200"/>
        <w:rPr>
          <w:rFonts w:ascii="方正仿宋_GBK" w:hAnsi="Calibri" w:cs="宋体"/>
          <w:kern w:val="0"/>
          <w:szCs w:val="32"/>
        </w:rPr>
      </w:pPr>
    </w:p>
    <w:p>
      <w:pPr>
        <w:widowControl w:val="0"/>
        <w:snapToGrid w:val="0"/>
        <w:spacing w:line="276" w:lineRule="auto"/>
        <w:ind w:firstLine="640" w:firstLineChars="200"/>
        <w:rPr>
          <w:rFonts w:hint="eastAsia" w:ascii="方正仿宋_GBK" w:hAnsi="Calibri" w:cs="宋体"/>
          <w:kern w:val="0"/>
          <w:szCs w:val="32"/>
        </w:rPr>
      </w:pPr>
      <w:r>
        <w:rPr>
          <w:rFonts w:ascii="方正仿宋_GBK" w:hAnsi="Calibri" w:cs="宋体"/>
          <w:kern w:val="0"/>
          <w:szCs w:val="32"/>
        </w:rPr>
        <w:t>统筹运用财政政策、货币政策工具、监管政策和国有平台，加强对金融资源的统筹调配力度，引导金融资源有序合理流动，针对行业运行中出现的问题和困难，适时实施专项调度。切实增强区金融办与市金融局以及中央在渝金融监管部门的协调沟通，加大信息互换共享和协作配合，在风险防范化解处置、地方金融改革、业务发展等方面形成常态化合作机制。</w:t>
      </w:r>
    </w:p>
    <w:p>
      <w:pPr>
        <w:widowControl w:val="0"/>
        <w:snapToGrid w:val="0"/>
        <w:spacing w:line="276" w:lineRule="auto"/>
        <w:rPr>
          <w:rFonts w:ascii="方正黑体_GBK" w:hAnsi="Calibri" w:eastAsia="方正黑体_GBK" w:cs="宋体"/>
          <w:kern w:val="0"/>
          <w:szCs w:val="32"/>
        </w:rPr>
      </w:pPr>
      <w:r>
        <w:rPr>
          <w:rFonts w:hint="eastAsia" w:ascii="方正黑体_GBK" w:hAnsi="Calibri" w:eastAsia="方正黑体_GBK" w:cs="宋体"/>
          <w:kern w:val="0"/>
          <w:szCs w:val="32"/>
        </w:rPr>
        <w:br w:type="page"/>
      </w:r>
      <w:r>
        <w:rPr>
          <w:rFonts w:hint="eastAsia" w:ascii="方正黑体_GBK" w:hAnsi="Calibri" w:eastAsia="方正黑体_GBK" w:cs="宋体"/>
          <w:kern w:val="0"/>
          <w:szCs w:val="32"/>
        </w:rPr>
        <w:t>附录一</w:t>
      </w:r>
    </w:p>
    <w:p>
      <w:pPr>
        <w:widowControl w:val="0"/>
        <w:snapToGrid w:val="0"/>
        <w:spacing w:line="276" w:lineRule="auto"/>
        <w:ind w:firstLine="640"/>
        <w:rPr>
          <w:rFonts w:hint="default" w:ascii="方正仿宋_GBK" w:hAnsi="Times New Roman" w:eastAsia="方正仿宋_GBK" w:cs="Times New Roman"/>
          <w:kern w:val="0"/>
          <w:szCs w:val="32"/>
        </w:rPr>
      </w:pPr>
    </w:p>
    <w:p>
      <w:pPr>
        <w:widowControl w:val="0"/>
        <w:snapToGrid w:val="0"/>
        <w:spacing w:before="0" w:after="0" w:line="240" w:lineRule="auto"/>
        <w:jc w:val="center"/>
        <w:rPr>
          <w:rFonts w:hint="eastAsia" w:ascii="方正小标宋_GBK" w:hAnsi="Calibri" w:eastAsia="方正小标宋_GBK" w:cs="宋体"/>
          <w:kern w:val="0"/>
          <w:sz w:val="44"/>
          <w:szCs w:val="44"/>
        </w:rPr>
      </w:pPr>
      <w:r>
        <w:rPr>
          <w:rFonts w:hint="eastAsia" w:ascii="方正小标宋_GBK" w:hAnsi="Calibri" w:eastAsia="方正小标宋_GBK" w:cs="宋体"/>
          <w:kern w:val="0"/>
          <w:sz w:val="44"/>
          <w:szCs w:val="44"/>
        </w:rPr>
        <w:t>部分政策依据</w:t>
      </w:r>
    </w:p>
    <w:p>
      <w:pPr>
        <w:widowControl w:val="0"/>
        <w:snapToGrid w:val="0"/>
        <w:spacing w:line="276" w:lineRule="auto"/>
        <w:ind w:firstLine="640"/>
        <w:rPr>
          <w:rFonts w:hint="eastAsia" w:ascii="方正黑体_GBK" w:hAnsi="Calibri" w:eastAsia="方正黑体_GBK" w:cs="宋体"/>
          <w:kern w:val="0"/>
          <w:szCs w:val="32"/>
        </w:rPr>
      </w:pPr>
    </w:p>
    <w:p>
      <w:pPr>
        <w:widowControl w:val="0"/>
        <w:snapToGrid w:val="0"/>
        <w:spacing w:line="276" w:lineRule="auto"/>
        <w:ind w:firstLine="641"/>
        <w:rPr>
          <w:rFonts w:hint="eastAsia" w:ascii="方正黑体_GBK" w:hAnsi="Calibri" w:eastAsia="方正黑体_GBK" w:cs="宋体"/>
          <w:kern w:val="0"/>
          <w:szCs w:val="32"/>
        </w:rPr>
      </w:pPr>
      <w:r>
        <w:rPr>
          <w:rFonts w:hint="eastAsia" w:ascii="方正黑体_GBK" w:hAnsi="Calibri" w:eastAsia="方正黑体_GBK" w:cs="宋体"/>
          <w:kern w:val="0"/>
          <w:szCs w:val="32"/>
        </w:rPr>
        <w:t>一、国家政策文件</w:t>
      </w:r>
    </w:p>
    <w:p>
      <w:pPr>
        <w:widowControl w:val="0"/>
        <w:snapToGrid w:val="0"/>
        <w:spacing w:line="276" w:lineRule="auto"/>
        <w:ind w:firstLine="641"/>
        <w:rPr>
          <w:rFonts w:hint="eastAsia" w:eastAsia="宋体"/>
          <w:kern w:val="0"/>
          <w:szCs w:val="32"/>
        </w:rPr>
      </w:pPr>
      <w:r>
        <w:rPr>
          <w:rFonts w:eastAsia="宋体"/>
          <w:kern w:val="0"/>
          <w:szCs w:val="32"/>
        </w:rPr>
        <w:t>1</w:t>
      </w:r>
      <w:r>
        <w:rPr>
          <w:rFonts w:hint="eastAsia" w:ascii="方正仿宋_GBK"/>
          <w:kern w:val="0"/>
          <w:szCs w:val="32"/>
          <w:lang w:val="en-US" w:eastAsia="zh-CN"/>
        </w:rPr>
        <w:t>.</w:t>
      </w:r>
      <w:r>
        <w:rPr>
          <w:rFonts w:ascii="方正仿宋_GBK"/>
          <w:kern w:val="0"/>
          <w:szCs w:val="32"/>
        </w:rPr>
        <w:t>国务院办公厅《关于有效发挥政府性融资担保基金作用切实支持小微企业</w:t>
      </w:r>
      <w:r>
        <w:rPr>
          <w:rFonts w:hint="eastAsia" w:ascii="方正仿宋_GBK" w:hAnsi="Calibri" w:cs="宋体"/>
          <w:kern w:val="0"/>
          <w:szCs w:val="32"/>
        </w:rPr>
        <w:t>和“三农”发展</w:t>
      </w:r>
      <w:r>
        <w:rPr>
          <w:rFonts w:eastAsia="宋体"/>
          <w:kern w:val="0"/>
          <w:szCs w:val="32"/>
        </w:rPr>
        <w:t>的指导意见》</w:t>
      </w:r>
    </w:p>
    <w:p>
      <w:pPr>
        <w:widowControl w:val="0"/>
        <w:snapToGrid w:val="0"/>
        <w:spacing w:line="276" w:lineRule="auto"/>
        <w:ind w:firstLine="641"/>
        <w:rPr>
          <w:rFonts w:eastAsia="宋体"/>
          <w:kern w:val="0"/>
          <w:szCs w:val="32"/>
        </w:rPr>
      </w:pPr>
      <w:r>
        <w:rPr>
          <w:rFonts w:eastAsia="宋体"/>
          <w:kern w:val="0"/>
          <w:szCs w:val="32"/>
        </w:rPr>
        <w:t>2</w:t>
      </w:r>
      <w:r>
        <w:rPr>
          <w:rFonts w:hint="eastAsia" w:ascii="方正仿宋_GBK"/>
          <w:kern w:val="0"/>
          <w:szCs w:val="32"/>
          <w:lang w:val="en-US" w:eastAsia="zh-CN"/>
        </w:rPr>
        <w:t>.</w:t>
      </w:r>
      <w:r>
        <w:rPr>
          <w:rFonts w:ascii="方正仿宋_GBK"/>
          <w:kern w:val="0"/>
          <w:szCs w:val="32"/>
        </w:rPr>
        <w:t>中共中央办公厅、国务院办公厅《关于加强金融服务民营企业的若干意见》</w:t>
      </w:r>
    </w:p>
    <w:p>
      <w:pPr>
        <w:widowControl w:val="0"/>
        <w:snapToGrid w:val="0"/>
        <w:spacing w:line="276" w:lineRule="auto"/>
        <w:ind w:firstLine="641"/>
        <w:rPr>
          <w:rFonts w:eastAsia="宋体"/>
          <w:kern w:val="0"/>
          <w:szCs w:val="32"/>
        </w:rPr>
      </w:pPr>
      <w:r>
        <w:rPr>
          <w:rFonts w:eastAsia="宋体"/>
          <w:kern w:val="0"/>
          <w:szCs w:val="32"/>
        </w:rPr>
        <w:t>3</w:t>
      </w:r>
      <w:r>
        <w:rPr>
          <w:rFonts w:hint="eastAsia" w:ascii="方正仿宋_GBK"/>
          <w:kern w:val="0"/>
          <w:szCs w:val="32"/>
          <w:lang w:val="en-US" w:eastAsia="zh-CN"/>
        </w:rPr>
        <w:t>.</w:t>
      </w:r>
      <w:r>
        <w:rPr>
          <w:rFonts w:ascii="方正仿宋_GBK"/>
          <w:kern w:val="0"/>
          <w:szCs w:val="32"/>
        </w:rPr>
        <w:t>中国银保监会《关于进一步加强金融服务民营企业有关工作的通知》</w:t>
      </w:r>
    </w:p>
    <w:p>
      <w:pPr>
        <w:widowControl w:val="0"/>
        <w:snapToGrid w:val="0"/>
        <w:spacing w:line="276" w:lineRule="auto"/>
        <w:ind w:firstLine="641"/>
        <w:rPr>
          <w:rFonts w:eastAsia="宋体"/>
          <w:kern w:val="0"/>
          <w:szCs w:val="32"/>
        </w:rPr>
      </w:pPr>
      <w:r>
        <w:rPr>
          <w:rFonts w:eastAsia="宋体"/>
          <w:kern w:val="0"/>
          <w:szCs w:val="32"/>
        </w:rPr>
        <w:t>4</w:t>
      </w:r>
      <w:r>
        <w:rPr>
          <w:rFonts w:hint="eastAsia" w:ascii="方正仿宋_GBK"/>
          <w:kern w:val="0"/>
          <w:szCs w:val="32"/>
          <w:lang w:val="en-US" w:eastAsia="zh-CN"/>
        </w:rPr>
        <w:t>.</w:t>
      </w:r>
      <w:r>
        <w:rPr>
          <w:rFonts w:ascii="方正仿宋_GBK"/>
          <w:kern w:val="0"/>
          <w:szCs w:val="32"/>
        </w:rPr>
        <w:t>国家发展改革委、</w:t>
      </w:r>
      <w:r>
        <w:rPr>
          <w:rFonts w:eastAsia="宋体"/>
          <w:kern w:val="0"/>
          <w:szCs w:val="32"/>
        </w:rPr>
        <w:t xml:space="preserve"> </w:t>
      </w:r>
      <w:r>
        <w:rPr>
          <w:rFonts w:ascii="方正仿宋_GBK"/>
          <w:kern w:val="0"/>
          <w:szCs w:val="32"/>
        </w:rPr>
        <w:t>银保监会《关于深入开展</w:t>
      </w:r>
      <w:r>
        <w:rPr>
          <w:rFonts w:eastAsia="宋体"/>
          <w:kern w:val="0"/>
          <w:szCs w:val="32"/>
        </w:rPr>
        <w:t>“</w:t>
      </w:r>
      <w:r>
        <w:rPr>
          <w:rFonts w:ascii="方正仿宋_GBK"/>
          <w:kern w:val="0"/>
          <w:szCs w:val="32"/>
        </w:rPr>
        <w:t>信易贷</w:t>
      </w:r>
      <w:r>
        <w:rPr>
          <w:rFonts w:eastAsia="宋体"/>
          <w:kern w:val="0"/>
          <w:szCs w:val="32"/>
        </w:rPr>
        <w:t>”</w:t>
      </w:r>
      <w:r>
        <w:rPr>
          <w:rFonts w:ascii="方正仿宋_GBK"/>
          <w:kern w:val="0"/>
          <w:szCs w:val="32"/>
        </w:rPr>
        <w:t>支持中小微企业融资的通知》</w:t>
      </w:r>
    </w:p>
    <w:p>
      <w:pPr>
        <w:widowControl w:val="0"/>
        <w:snapToGrid w:val="0"/>
        <w:spacing w:line="276" w:lineRule="auto"/>
        <w:ind w:firstLine="641"/>
        <w:rPr>
          <w:rFonts w:ascii="方正黑体_GBK" w:hAnsi="Calibri" w:eastAsia="方正黑体_GBK" w:cs="宋体"/>
          <w:kern w:val="0"/>
          <w:szCs w:val="32"/>
        </w:rPr>
      </w:pPr>
      <w:r>
        <w:rPr>
          <w:rFonts w:hint="eastAsia" w:ascii="方正黑体_GBK" w:hAnsi="Calibri" w:eastAsia="方正黑体_GBK" w:cs="宋体"/>
          <w:kern w:val="0"/>
          <w:szCs w:val="32"/>
        </w:rPr>
        <w:t>二、市政府政策文件</w:t>
      </w:r>
    </w:p>
    <w:p>
      <w:pPr>
        <w:widowControl w:val="0"/>
        <w:snapToGrid w:val="0"/>
        <w:spacing w:line="276" w:lineRule="auto"/>
        <w:ind w:firstLine="641"/>
        <w:rPr>
          <w:rFonts w:hint="eastAsia" w:eastAsia="宋体"/>
          <w:kern w:val="0"/>
          <w:szCs w:val="32"/>
        </w:rPr>
      </w:pPr>
      <w:r>
        <w:rPr>
          <w:rFonts w:eastAsia="宋体"/>
          <w:kern w:val="0"/>
          <w:szCs w:val="32"/>
        </w:rPr>
        <w:t>5</w:t>
      </w:r>
      <w:r>
        <w:rPr>
          <w:rFonts w:hint="eastAsia" w:ascii="方正仿宋_GBK"/>
          <w:kern w:val="0"/>
          <w:szCs w:val="32"/>
          <w:lang w:val="en-US" w:eastAsia="zh-CN"/>
        </w:rPr>
        <w:t>.</w:t>
      </w:r>
      <w:r>
        <w:rPr>
          <w:rFonts w:ascii="方正仿宋_GBK"/>
          <w:kern w:val="0"/>
          <w:szCs w:val="32"/>
        </w:rPr>
        <w:t>中共重庆市委办公厅、重庆市人民政府办公厅《关于加强金融服务民营企业的具体措施》的通知</w:t>
      </w:r>
    </w:p>
    <w:p>
      <w:pPr>
        <w:widowControl w:val="0"/>
        <w:snapToGrid w:val="0"/>
        <w:spacing w:line="276" w:lineRule="auto"/>
        <w:ind w:firstLine="641"/>
        <w:rPr>
          <w:rFonts w:eastAsia="宋体"/>
          <w:kern w:val="0"/>
          <w:szCs w:val="32"/>
        </w:rPr>
      </w:pPr>
      <w:r>
        <w:rPr>
          <w:rFonts w:eastAsia="宋体"/>
          <w:kern w:val="0"/>
          <w:szCs w:val="32"/>
        </w:rPr>
        <w:t>6</w:t>
      </w:r>
      <w:r>
        <w:rPr>
          <w:rFonts w:hint="eastAsia" w:ascii="方正仿宋_GBK"/>
          <w:kern w:val="0"/>
          <w:szCs w:val="32"/>
          <w:lang w:val="en-US" w:eastAsia="zh-CN"/>
        </w:rPr>
        <w:t>.</w:t>
      </w:r>
      <w:r>
        <w:rPr>
          <w:rFonts w:ascii="方正仿宋_GBK"/>
          <w:kern w:val="0"/>
          <w:szCs w:val="32"/>
        </w:rPr>
        <w:t>重庆市人民政府办公厅《关于印发进一步支持实体经济企业健康发展若干政策措施的通知》</w:t>
      </w:r>
    </w:p>
    <w:p>
      <w:pPr>
        <w:widowControl w:val="0"/>
        <w:snapToGrid w:val="0"/>
        <w:spacing w:line="276" w:lineRule="auto"/>
        <w:ind w:firstLine="641"/>
        <w:rPr>
          <w:rFonts w:eastAsia="宋体"/>
          <w:kern w:val="0"/>
          <w:szCs w:val="32"/>
        </w:rPr>
      </w:pPr>
      <w:r>
        <w:rPr>
          <w:rFonts w:eastAsia="宋体"/>
          <w:kern w:val="0"/>
          <w:szCs w:val="32"/>
        </w:rPr>
        <w:t>7</w:t>
      </w:r>
      <w:r>
        <w:rPr>
          <w:rFonts w:hint="eastAsia" w:ascii="方正仿宋_GBK"/>
          <w:kern w:val="0"/>
          <w:szCs w:val="32"/>
          <w:lang w:val="en-US" w:eastAsia="zh-CN"/>
        </w:rPr>
        <w:t>.</w:t>
      </w:r>
      <w:r>
        <w:rPr>
          <w:rFonts w:ascii="方正仿宋_GBK"/>
          <w:kern w:val="0"/>
          <w:szCs w:val="32"/>
        </w:rPr>
        <w:t>重庆市人民政府办公厅《关于开展中小企业商业价值信用贷款改革试点工作的通知》</w:t>
      </w:r>
    </w:p>
    <w:p>
      <w:pPr>
        <w:widowControl w:val="0"/>
        <w:snapToGrid w:val="0"/>
        <w:spacing w:line="276" w:lineRule="auto"/>
        <w:ind w:firstLine="641"/>
        <w:rPr>
          <w:rFonts w:eastAsia="宋体"/>
          <w:kern w:val="0"/>
          <w:szCs w:val="32"/>
        </w:rPr>
      </w:pPr>
      <w:r>
        <w:rPr>
          <w:rFonts w:eastAsia="宋体"/>
          <w:kern w:val="0"/>
          <w:szCs w:val="32"/>
        </w:rPr>
        <w:t>8</w:t>
      </w:r>
      <w:r>
        <w:rPr>
          <w:rFonts w:hint="eastAsia" w:ascii="方正仿宋_GBK"/>
          <w:kern w:val="0"/>
          <w:szCs w:val="32"/>
          <w:lang w:val="en-US" w:eastAsia="zh-CN"/>
        </w:rPr>
        <w:t>.</w:t>
      </w:r>
      <w:r>
        <w:rPr>
          <w:rFonts w:ascii="方正仿宋_GBK"/>
          <w:kern w:val="0"/>
          <w:szCs w:val="32"/>
        </w:rPr>
        <w:t>重庆市人民政府办公厅《关于印发重庆市银行业支持实体经济发展若干措施的通知》</w:t>
      </w:r>
    </w:p>
    <w:p>
      <w:pPr>
        <w:widowControl w:val="0"/>
        <w:snapToGrid w:val="0"/>
        <w:spacing w:line="276" w:lineRule="auto"/>
        <w:ind w:firstLine="641"/>
        <w:rPr>
          <w:rFonts w:eastAsia="宋体"/>
          <w:kern w:val="0"/>
          <w:szCs w:val="32"/>
        </w:rPr>
      </w:pPr>
      <w:r>
        <w:rPr>
          <w:rFonts w:eastAsia="宋体"/>
          <w:kern w:val="0"/>
          <w:szCs w:val="32"/>
        </w:rPr>
        <w:t>9</w:t>
      </w:r>
      <w:r>
        <w:rPr>
          <w:rFonts w:hint="eastAsia" w:ascii="方正仿宋_GBK"/>
          <w:kern w:val="0"/>
          <w:szCs w:val="32"/>
          <w:lang w:val="en-US" w:eastAsia="zh-CN"/>
        </w:rPr>
        <w:t>.</w:t>
      </w:r>
      <w:r>
        <w:rPr>
          <w:rFonts w:ascii="方正仿宋_GBK"/>
          <w:kern w:val="0"/>
          <w:szCs w:val="32"/>
        </w:rPr>
        <w:t>重庆市人民政府办公厅《关于进一步落实涉企政策促进实体经济平稳发展的意见》</w:t>
      </w:r>
    </w:p>
    <w:p>
      <w:pPr>
        <w:widowControl w:val="0"/>
        <w:snapToGrid w:val="0"/>
        <w:spacing w:line="276" w:lineRule="auto"/>
        <w:ind w:firstLine="641"/>
        <w:rPr>
          <w:rFonts w:eastAsia="宋体"/>
          <w:kern w:val="0"/>
          <w:szCs w:val="32"/>
        </w:rPr>
      </w:pPr>
      <w:r>
        <w:rPr>
          <w:rFonts w:eastAsia="宋体"/>
          <w:kern w:val="0"/>
          <w:szCs w:val="32"/>
        </w:rPr>
        <w:t>10</w:t>
      </w:r>
      <w:r>
        <w:rPr>
          <w:rFonts w:hint="eastAsia" w:ascii="方正仿宋_GBK"/>
          <w:kern w:val="0"/>
          <w:szCs w:val="32"/>
          <w:lang w:val="en-US" w:eastAsia="zh-CN"/>
        </w:rPr>
        <w:t>.</w:t>
      </w:r>
      <w:r>
        <w:rPr>
          <w:rFonts w:ascii="方正仿宋_GBK"/>
          <w:kern w:val="0"/>
          <w:szCs w:val="32"/>
        </w:rPr>
        <w:t>重庆市人民政府《关于印发重庆市推进普惠金融发展工作方案的通知》</w:t>
      </w:r>
    </w:p>
    <w:p>
      <w:pPr>
        <w:widowControl w:val="0"/>
        <w:snapToGrid w:val="0"/>
        <w:spacing w:line="276" w:lineRule="auto"/>
        <w:ind w:firstLine="641"/>
        <w:rPr>
          <w:rFonts w:ascii="方正黑体_GBK" w:hAnsi="Calibri" w:eastAsia="方正黑体_GBK" w:cs="宋体"/>
          <w:kern w:val="0"/>
          <w:szCs w:val="32"/>
        </w:rPr>
      </w:pPr>
      <w:r>
        <w:rPr>
          <w:rFonts w:hint="eastAsia" w:ascii="方正黑体_GBK" w:hAnsi="Calibri" w:eastAsia="方正黑体_GBK" w:cs="宋体"/>
          <w:kern w:val="0"/>
          <w:szCs w:val="32"/>
        </w:rPr>
        <w:t>三、市级部门政策文件</w:t>
      </w:r>
    </w:p>
    <w:p>
      <w:pPr>
        <w:widowControl w:val="0"/>
        <w:snapToGrid w:val="0"/>
        <w:spacing w:line="276" w:lineRule="auto"/>
        <w:ind w:firstLine="641"/>
        <w:rPr>
          <w:rFonts w:hint="eastAsia" w:eastAsia="宋体"/>
          <w:kern w:val="0"/>
          <w:szCs w:val="32"/>
        </w:rPr>
      </w:pPr>
      <w:r>
        <w:rPr>
          <w:rFonts w:eastAsia="宋体"/>
          <w:kern w:val="0"/>
          <w:szCs w:val="32"/>
        </w:rPr>
        <w:t>11</w:t>
      </w:r>
      <w:r>
        <w:rPr>
          <w:rFonts w:hint="eastAsia" w:ascii="方正仿宋_GBK"/>
          <w:kern w:val="0"/>
          <w:szCs w:val="32"/>
          <w:lang w:val="en-US" w:eastAsia="zh-CN"/>
        </w:rPr>
        <w:t>.</w:t>
      </w:r>
      <w:r>
        <w:rPr>
          <w:rFonts w:ascii="方正仿宋_GBK"/>
          <w:kern w:val="0"/>
          <w:szCs w:val="32"/>
        </w:rPr>
        <w:t>重庆市地方金融监督管理局、重庆市发展和改革委员会、重庆市财政局、重庆市高级人民法院、中国人民银行重庆营业管理部、中国银行保险监督管理委员会重庆监管局印发《关于进一步优化金融信贷营商环境的意见》的通知</w:t>
      </w:r>
    </w:p>
    <w:p>
      <w:pPr>
        <w:widowControl w:val="0"/>
        <w:snapToGrid w:val="0"/>
        <w:spacing w:line="276" w:lineRule="auto"/>
        <w:ind w:firstLine="641"/>
        <w:rPr>
          <w:rFonts w:eastAsia="宋体"/>
          <w:kern w:val="0"/>
          <w:szCs w:val="32"/>
        </w:rPr>
      </w:pPr>
      <w:r>
        <w:rPr>
          <w:rFonts w:eastAsia="宋体"/>
          <w:kern w:val="0"/>
          <w:szCs w:val="32"/>
        </w:rPr>
        <w:t>12</w:t>
      </w:r>
      <w:r>
        <w:rPr>
          <w:rFonts w:hint="eastAsia" w:ascii="方正仿宋_GBK"/>
          <w:kern w:val="0"/>
          <w:szCs w:val="32"/>
          <w:lang w:val="en-US" w:eastAsia="zh-CN"/>
        </w:rPr>
        <w:t>.</w:t>
      </w:r>
      <w:r>
        <w:rPr>
          <w:rFonts w:ascii="方正仿宋_GBK"/>
          <w:kern w:val="0"/>
          <w:szCs w:val="32"/>
        </w:rPr>
        <w:t>重庆市地方金融监督管理局印发《关于引导小额贷款公司降低贷款利率的通知》</w:t>
      </w:r>
    </w:p>
    <w:p>
      <w:pPr>
        <w:widowControl w:val="0"/>
        <w:snapToGrid w:val="0"/>
        <w:spacing w:line="276" w:lineRule="auto"/>
        <w:ind w:firstLine="641"/>
        <w:rPr>
          <w:rFonts w:eastAsia="宋体"/>
          <w:kern w:val="0"/>
          <w:szCs w:val="32"/>
        </w:rPr>
      </w:pPr>
      <w:r>
        <w:rPr>
          <w:rFonts w:eastAsia="宋体"/>
          <w:kern w:val="0"/>
          <w:szCs w:val="32"/>
        </w:rPr>
        <w:t>13</w:t>
      </w:r>
      <w:r>
        <w:rPr>
          <w:rFonts w:hint="eastAsia" w:ascii="方正仿宋_GBK"/>
          <w:kern w:val="0"/>
          <w:szCs w:val="32"/>
          <w:lang w:val="en-US" w:eastAsia="zh-CN"/>
        </w:rPr>
        <w:t>.</w:t>
      </w:r>
      <w:r>
        <w:rPr>
          <w:rFonts w:ascii="方正仿宋_GBK"/>
          <w:kern w:val="0"/>
          <w:szCs w:val="32"/>
        </w:rPr>
        <w:t>重庆市扶贫办、重庆银保监局、重庆市财政局、人行重庆营管部《关于印发重庆市规范和完善扶贫小额信贷管理实施细则的通知》</w:t>
      </w:r>
    </w:p>
    <w:p>
      <w:pPr>
        <w:widowControl w:val="0"/>
        <w:snapToGrid w:val="0"/>
        <w:spacing w:line="276" w:lineRule="auto"/>
        <w:ind w:firstLine="641"/>
        <w:rPr>
          <w:rFonts w:eastAsia="宋体"/>
          <w:kern w:val="0"/>
          <w:szCs w:val="32"/>
        </w:rPr>
      </w:pPr>
      <w:r>
        <w:rPr>
          <w:rFonts w:eastAsia="宋体"/>
          <w:kern w:val="0"/>
          <w:szCs w:val="32"/>
        </w:rPr>
        <w:t>14</w:t>
      </w:r>
      <w:r>
        <w:rPr>
          <w:rFonts w:hint="eastAsia" w:eastAsia="宋体"/>
          <w:kern w:val="0"/>
          <w:szCs w:val="32"/>
          <w:lang w:val="en-US" w:eastAsia="zh-CN"/>
        </w:rPr>
        <w:t>.</w:t>
      </w:r>
      <w:r>
        <w:rPr>
          <w:rFonts w:ascii="方正仿宋_GBK"/>
          <w:kern w:val="0"/>
          <w:szCs w:val="32"/>
        </w:rPr>
        <w:t>原重庆市金融工作办公室、重庆市财政局、原重庆市农业委员会《关于开展农村产权抵押融资风险补偿申报工作的通知》</w:t>
      </w:r>
    </w:p>
    <w:p>
      <w:pPr>
        <w:widowControl w:val="0"/>
        <w:snapToGrid w:val="0"/>
        <w:spacing w:line="276" w:lineRule="auto"/>
        <w:ind w:firstLine="0"/>
        <w:rPr>
          <w:rFonts w:hint="eastAsia" w:ascii="方正黑体_GBK" w:hAnsi="Calibri" w:eastAsia="方正黑体_GBK" w:cs="宋体"/>
          <w:kern w:val="0"/>
          <w:szCs w:val="32"/>
        </w:rPr>
      </w:pPr>
      <w:r>
        <w:rPr>
          <w:rFonts w:eastAsia="宋体"/>
          <w:kern w:val="0"/>
          <w:szCs w:val="32"/>
        </w:rPr>
        <w:br w:type="page"/>
      </w:r>
      <w:r>
        <w:rPr>
          <w:rFonts w:hint="eastAsia" w:ascii="方正黑体_GBK" w:hAnsi="Calibri" w:eastAsia="方正黑体_GBK" w:cs="宋体"/>
          <w:kern w:val="0"/>
          <w:szCs w:val="32"/>
        </w:rPr>
        <w:t>附录二</w:t>
      </w:r>
    </w:p>
    <w:p>
      <w:pPr>
        <w:widowControl w:val="0"/>
        <w:snapToGrid w:val="0"/>
        <w:spacing w:line="276" w:lineRule="auto"/>
        <w:ind w:firstLine="640"/>
        <w:rPr>
          <w:rFonts w:hint="default" w:ascii="方正仿宋_GBK" w:hAnsi="Times New Roman" w:eastAsia="方正仿宋_GBK" w:cs="Times New Roman"/>
          <w:kern w:val="0"/>
          <w:szCs w:val="32"/>
        </w:rPr>
      </w:pPr>
    </w:p>
    <w:p>
      <w:pPr>
        <w:widowControl w:val="0"/>
        <w:snapToGrid w:val="0"/>
        <w:spacing w:before="0" w:after="0" w:line="240" w:lineRule="auto"/>
        <w:jc w:val="center"/>
        <w:rPr>
          <w:rFonts w:hint="eastAsia" w:ascii="方正小标宋_GBK" w:hAnsi="Calibri" w:eastAsia="方正小标宋_GBK" w:cs="宋体"/>
          <w:kern w:val="0"/>
          <w:sz w:val="44"/>
          <w:szCs w:val="44"/>
        </w:rPr>
      </w:pPr>
      <w:r>
        <w:rPr>
          <w:rFonts w:hint="eastAsia" w:ascii="方正小标宋_GBK" w:hAnsi="Calibri" w:eastAsia="方正小标宋_GBK" w:cs="宋体"/>
          <w:kern w:val="0"/>
          <w:sz w:val="44"/>
          <w:szCs w:val="44"/>
        </w:rPr>
        <w:t>永川区金融机构名单</w:t>
      </w:r>
    </w:p>
    <w:p>
      <w:pPr>
        <w:widowControl w:val="0"/>
        <w:snapToGrid w:val="0"/>
        <w:spacing w:line="276" w:lineRule="auto"/>
        <w:ind w:firstLine="640"/>
        <w:rPr>
          <w:rFonts w:hint="eastAsia" w:ascii="方正黑体_GBK" w:hAnsi="Calibri" w:eastAsia="方正黑体_GBK" w:cs="宋体"/>
          <w:kern w:val="0"/>
          <w:szCs w:val="32"/>
        </w:rPr>
      </w:pPr>
    </w:p>
    <w:p>
      <w:pPr>
        <w:widowControl w:val="0"/>
        <w:snapToGrid w:val="0"/>
        <w:spacing w:line="276" w:lineRule="auto"/>
        <w:ind w:firstLine="641"/>
        <w:rPr>
          <w:rFonts w:hint="eastAsia" w:ascii="方正黑体_GBK" w:hAnsi="Calibri" w:eastAsia="方正黑体_GBK" w:cs="宋体"/>
          <w:kern w:val="0"/>
          <w:szCs w:val="32"/>
        </w:rPr>
      </w:pPr>
      <w:r>
        <w:rPr>
          <w:rFonts w:hint="eastAsia" w:ascii="方正黑体_GBK" w:hAnsi="Calibri" w:eastAsia="方正黑体_GBK" w:cs="宋体"/>
          <w:kern w:val="0"/>
          <w:szCs w:val="32"/>
        </w:rPr>
        <w:t>一、银行业金融机构</w:t>
      </w:r>
    </w:p>
    <w:p>
      <w:pPr>
        <w:widowControl w:val="0"/>
        <w:snapToGrid w:val="0"/>
        <w:spacing w:line="276" w:lineRule="auto"/>
        <w:ind w:firstLine="641"/>
        <w:rPr>
          <w:rFonts w:hint="eastAsia" w:eastAsia="宋体"/>
          <w:kern w:val="0"/>
          <w:szCs w:val="32"/>
        </w:rPr>
      </w:pPr>
      <w:r>
        <w:rPr>
          <w:rFonts w:eastAsia="宋体"/>
          <w:kern w:val="0"/>
          <w:szCs w:val="32"/>
        </w:rPr>
        <w:t>1</w:t>
      </w:r>
      <w:r>
        <w:rPr>
          <w:rFonts w:ascii="方正仿宋_GBK"/>
          <w:kern w:val="0"/>
          <w:szCs w:val="32"/>
        </w:rPr>
        <w:t>．农业发展银行永川支行</w:t>
      </w:r>
    </w:p>
    <w:p>
      <w:pPr>
        <w:widowControl w:val="0"/>
        <w:snapToGrid w:val="0"/>
        <w:spacing w:line="276" w:lineRule="auto"/>
        <w:ind w:firstLine="641"/>
        <w:rPr>
          <w:rFonts w:eastAsia="宋体"/>
          <w:kern w:val="0"/>
          <w:szCs w:val="32"/>
        </w:rPr>
      </w:pPr>
      <w:r>
        <w:rPr>
          <w:rFonts w:eastAsia="宋体"/>
          <w:kern w:val="0"/>
          <w:szCs w:val="32"/>
        </w:rPr>
        <w:t>2</w:t>
      </w:r>
      <w:r>
        <w:rPr>
          <w:rFonts w:ascii="方正仿宋_GBK"/>
          <w:kern w:val="0"/>
          <w:szCs w:val="32"/>
        </w:rPr>
        <w:t>．工商银行永川支行</w:t>
      </w:r>
    </w:p>
    <w:p>
      <w:pPr>
        <w:widowControl w:val="0"/>
        <w:snapToGrid w:val="0"/>
        <w:spacing w:line="276" w:lineRule="auto"/>
        <w:ind w:firstLine="641"/>
        <w:rPr>
          <w:rFonts w:eastAsia="宋体"/>
          <w:kern w:val="0"/>
          <w:szCs w:val="32"/>
        </w:rPr>
      </w:pPr>
      <w:r>
        <w:rPr>
          <w:rFonts w:eastAsia="宋体"/>
          <w:kern w:val="0"/>
          <w:szCs w:val="32"/>
        </w:rPr>
        <w:t>3</w:t>
      </w:r>
      <w:r>
        <w:rPr>
          <w:rFonts w:ascii="方正仿宋_GBK"/>
          <w:kern w:val="0"/>
          <w:szCs w:val="32"/>
        </w:rPr>
        <w:t>．农业银行永川支行</w:t>
      </w:r>
    </w:p>
    <w:p>
      <w:pPr>
        <w:widowControl w:val="0"/>
        <w:snapToGrid w:val="0"/>
        <w:spacing w:line="276" w:lineRule="auto"/>
        <w:ind w:firstLine="641"/>
        <w:rPr>
          <w:rFonts w:eastAsia="宋体"/>
          <w:kern w:val="0"/>
          <w:szCs w:val="32"/>
        </w:rPr>
      </w:pPr>
      <w:r>
        <w:rPr>
          <w:rFonts w:eastAsia="宋体"/>
          <w:kern w:val="0"/>
          <w:szCs w:val="32"/>
        </w:rPr>
        <w:t>4</w:t>
      </w:r>
      <w:r>
        <w:rPr>
          <w:rFonts w:ascii="方正仿宋_GBK"/>
          <w:kern w:val="0"/>
          <w:szCs w:val="32"/>
        </w:rPr>
        <w:t>．中国银行永川支行</w:t>
      </w:r>
    </w:p>
    <w:p>
      <w:pPr>
        <w:widowControl w:val="0"/>
        <w:snapToGrid w:val="0"/>
        <w:spacing w:line="276" w:lineRule="auto"/>
        <w:ind w:firstLine="641"/>
        <w:rPr>
          <w:rFonts w:eastAsia="宋体"/>
          <w:kern w:val="0"/>
          <w:szCs w:val="32"/>
        </w:rPr>
      </w:pPr>
      <w:r>
        <w:rPr>
          <w:rFonts w:eastAsia="宋体"/>
          <w:kern w:val="0"/>
          <w:szCs w:val="32"/>
        </w:rPr>
        <w:t>5</w:t>
      </w:r>
      <w:r>
        <w:rPr>
          <w:rFonts w:ascii="方正仿宋_GBK"/>
          <w:kern w:val="0"/>
          <w:szCs w:val="32"/>
        </w:rPr>
        <w:t>．建设银行永川支行</w:t>
      </w:r>
    </w:p>
    <w:p>
      <w:pPr>
        <w:widowControl w:val="0"/>
        <w:snapToGrid w:val="0"/>
        <w:spacing w:line="276" w:lineRule="auto"/>
        <w:ind w:firstLine="641"/>
        <w:rPr>
          <w:rFonts w:eastAsia="宋体"/>
          <w:kern w:val="0"/>
          <w:szCs w:val="32"/>
        </w:rPr>
      </w:pPr>
      <w:r>
        <w:rPr>
          <w:rFonts w:eastAsia="宋体"/>
          <w:kern w:val="0"/>
          <w:szCs w:val="32"/>
        </w:rPr>
        <w:t>6</w:t>
      </w:r>
      <w:r>
        <w:rPr>
          <w:rFonts w:ascii="方正仿宋_GBK"/>
          <w:kern w:val="0"/>
          <w:szCs w:val="32"/>
        </w:rPr>
        <w:t>．交通银行永川支行</w:t>
      </w:r>
    </w:p>
    <w:p>
      <w:pPr>
        <w:widowControl w:val="0"/>
        <w:snapToGrid w:val="0"/>
        <w:spacing w:line="276" w:lineRule="auto"/>
        <w:ind w:firstLine="641"/>
        <w:rPr>
          <w:rFonts w:eastAsia="宋体"/>
          <w:kern w:val="0"/>
          <w:szCs w:val="32"/>
        </w:rPr>
      </w:pPr>
      <w:r>
        <w:rPr>
          <w:rFonts w:eastAsia="宋体"/>
          <w:kern w:val="0"/>
          <w:szCs w:val="32"/>
        </w:rPr>
        <w:t>7</w:t>
      </w:r>
      <w:r>
        <w:rPr>
          <w:rFonts w:ascii="方正仿宋_GBK"/>
          <w:kern w:val="0"/>
          <w:szCs w:val="32"/>
        </w:rPr>
        <w:t>．平安银行永川支行</w:t>
      </w:r>
    </w:p>
    <w:p>
      <w:pPr>
        <w:widowControl w:val="0"/>
        <w:snapToGrid w:val="0"/>
        <w:spacing w:line="276" w:lineRule="auto"/>
        <w:ind w:firstLine="641"/>
        <w:rPr>
          <w:rFonts w:eastAsia="宋体"/>
          <w:kern w:val="0"/>
          <w:szCs w:val="32"/>
        </w:rPr>
      </w:pPr>
      <w:r>
        <w:rPr>
          <w:rFonts w:eastAsia="宋体"/>
          <w:kern w:val="0"/>
          <w:szCs w:val="32"/>
        </w:rPr>
        <w:t>8</w:t>
      </w:r>
      <w:r>
        <w:rPr>
          <w:rFonts w:ascii="方正仿宋_GBK"/>
          <w:kern w:val="0"/>
          <w:szCs w:val="32"/>
        </w:rPr>
        <w:t>．兴业银行永川支行</w:t>
      </w:r>
    </w:p>
    <w:p>
      <w:pPr>
        <w:widowControl w:val="0"/>
        <w:snapToGrid w:val="0"/>
        <w:spacing w:line="276" w:lineRule="auto"/>
        <w:ind w:firstLine="641"/>
        <w:rPr>
          <w:rFonts w:eastAsia="宋体"/>
          <w:kern w:val="0"/>
          <w:szCs w:val="32"/>
        </w:rPr>
      </w:pPr>
      <w:r>
        <w:rPr>
          <w:rFonts w:eastAsia="宋体"/>
          <w:kern w:val="0"/>
          <w:szCs w:val="32"/>
        </w:rPr>
        <w:t>9</w:t>
      </w:r>
      <w:r>
        <w:rPr>
          <w:rFonts w:ascii="方正仿宋_GBK"/>
          <w:kern w:val="0"/>
          <w:szCs w:val="32"/>
        </w:rPr>
        <w:t>．中信银行永川支行</w:t>
      </w:r>
    </w:p>
    <w:p>
      <w:pPr>
        <w:widowControl w:val="0"/>
        <w:snapToGrid w:val="0"/>
        <w:spacing w:line="276" w:lineRule="auto"/>
        <w:ind w:firstLine="641"/>
        <w:rPr>
          <w:rFonts w:eastAsia="宋体"/>
          <w:kern w:val="0"/>
          <w:szCs w:val="32"/>
        </w:rPr>
      </w:pPr>
      <w:r>
        <w:rPr>
          <w:rFonts w:eastAsia="宋体"/>
          <w:kern w:val="0"/>
          <w:szCs w:val="32"/>
        </w:rPr>
        <w:t>10</w:t>
      </w:r>
      <w:r>
        <w:rPr>
          <w:rFonts w:ascii="方正仿宋_GBK"/>
          <w:kern w:val="0"/>
          <w:szCs w:val="32"/>
        </w:rPr>
        <w:t>．浦发银行永川支行</w:t>
      </w:r>
    </w:p>
    <w:p>
      <w:pPr>
        <w:widowControl w:val="0"/>
        <w:snapToGrid w:val="0"/>
        <w:spacing w:line="276" w:lineRule="auto"/>
        <w:ind w:firstLine="641"/>
        <w:rPr>
          <w:rFonts w:eastAsia="宋体"/>
          <w:kern w:val="0"/>
          <w:szCs w:val="32"/>
        </w:rPr>
      </w:pPr>
      <w:r>
        <w:rPr>
          <w:rFonts w:eastAsia="宋体"/>
          <w:kern w:val="0"/>
          <w:szCs w:val="32"/>
        </w:rPr>
        <w:t>11</w:t>
      </w:r>
      <w:r>
        <w:rPr>
          <w:rFonts w:ascii="方正仿宋_GBK"/>
          <w:kern w:val="0"/>
          <w:szCs w:val="32"/>
        </w:rPr>
        <w:t>．光大银行永川支行</w:t>
      </w:r>
    </w:p>
    <w:p>
      <w:pPr>
        <w:widowControl w:val="0"/>
        <w:snapToGrid w:val="0"/>
        <w:spacing w:line="276" w:lineRule="auto"/>
        <w:ind w:firstLine="641"/>
        <w:rPr>
          <w:rFonts w:eastAsia="宋体"/>
          <w:kern w:val="0"/>
          <w:szCs w:val="32"/>
        </w:rPr>
      </w:pPr>
      <w:r>
        <w:rPr>
          <w:rFonts w:eastAsia="宋体"/>
          <w:kern w:val="0"/>
          <w:szCs w:val="32"/>
        </w:rPr>
        <w:t>12</w:t>
      </w:r>
      <w:r>
        <w:rPr>
          <w:rFonts w:ascii="方正仿宋_GBK"/>
          <w:kern w:val="0"/>
          <w:szCs w:val="32"/>
        </w:rPr>
        <w:t>．恒丰银行永川支行</w:t>
      </w:r>
    </w:p>
    <w:p>
      <w:pPr>
        <w:widowControl w:val="0"/>
        <w:snapToGrid w:val="0"/>
        <w:spacing w:line="276" w:lineRule="auto"/>
        <w:ind w:firstLine="641"/>
        <w:rPr>
          <w:rFonts w:eastAsia="宋体"/>
          <w:kern w:val="0"/>
          <w:szCs w:val="32"/>
        </w:rPr>
      </w:pPr>
      <w:r>
        <w:rPr>
          <w:rFonts w:eastAsia="宋体"/>
          <w:kern w:val="0"/>
          <w:szCs w:val="32"/>
        </w:rPr>
        <w:t>13</w:t>
      </w:r>
      <w:r>
        <w:rPr>
          <w:rFonts w:ascii="方正仿宋_GBK"/>
          <w:kern w:val="0"/>
          <w:szCs w:val="32"/>
        </w:rPr>
        <w:t>．招商银行永川支行</w:t>
      </w:r>
    </w:p>
    <w:p>
      <w:pPr>
        <w:widowControl w:val="0"/>
        <w:snapToGrid w:val="0"/>
        <w:spacing w:line="276" w:lineRule="auto"/>
        <w:ind w:firstLine="641"/>
        <w:rPr>
          <w:rFonts w:eastAsia="宋体"/>
          <w:kern w:val="0"/>
          <w:szCs w:val="32"/>
        </w:rPr>
      </w:pPr>
      <w:r>
        <w:rPr>
          <w:rFonts w:eastAsia="宋体"/>
          <w:kern w:val="0"/>
          <w:szCs w:val="32"/>
        </w:rPr>
        <w:t>14</w:t>
      </w:r>
      <w:r>
        <w:rPr>
          <w:rFonts w:ascii="方正仿宋_GBK"/>
          <w:kern w:val="0"/>
          <w:szCs w:val="32"/>
        </w:rPr>
        <w:t>．农商行永川支行</w:t>
      </w:r>
    </w:p>
    <w:p>
      <w:pPr>
        <w:widowControl w:val="0"/>
        <w:snapToGrid w:val="0"/>
        <w:spacing w:line="276" w:lineRule="auto"/>
        <w:ind w:firstLine="641"/>
        <w:rPr>
          <w:rFonts w:eastAsia="宋体"/>
          <w:kern w:val="0"/>
          <w:szCs w:val="32"/>
        </w:rPr>
      </w:pPr>
      <w:r>
        <w:rPr>
          <w:rFonts w:eastAsia="宋体"/>
          <w:kern w:val="0"/>
          <w:szCs w:val="32"/>
        </w:rPr>
        <w:t>15</w:t>
      </w:r>
      <w:r>
        <w:rPr>
          <w:rFonts w:ascii="方正仿宋_GBK"/>
          <w:kern w:val="0"/>
          <w:szCs w:val="32"/>
        </w:rPr>
        <w:t>．重庆银行永川支行</w:t>
      </w:r>
    </w:p>
    <w:p>
      <w:pPr>
        <w:widowControl w:val="0"/>
        <w:snapToGrid w:val="0"/>
        <w:spacing w:line="276" w:lineRule="auto"/>
        <w:ind w:firstLine="641"/>
        <w:rPr>
          <w:rFonts w:eastAsia="宋体"/>
          <w:kern w:val="0"/>
          <w:szCs w:val="32"/>
        </w:rPr>
      </w:pPr>
      <w:r>
        <w:rPr>
          <w:rFonts w:eastAsia="宋体"/>
          <w:kern w:val="0"/>
          <w:szCs w:val="32"/>
        </w:rPr>
        <w:t>16</w:t>
      </w:r>
      <w:r>
        <w:rPr>
          <w:rFonts w:ascii="方正仿宋_GBK"/>
          <w:kern w:val="0"/>
          <w:szCs w:val="32"/>
        </w:rPr>
        <w:t>．三峡银行永川支行</w:t>
      </w:r>
    </w:p>
    <w:p>
      <w:pPr>
        <w:widowControl w:val="0"/>
        <w:snapToGrid w:val="0"/>
        <w:spacing w:line="276" w:lineRule="auto"/>
        <w:ind w:firstLine="641"/>
        <w:rPr>
          <w:rFonts w:eastAsia="宋体"/>
          <w:kern w:val="0"/>
          <w:szCs w:val="32"/>
        </w:rPr>
      </w:pPr>
      <w:r>
        <w:rPr>
          <w:rFonts w:eastAsia="宋体"/>
          <w:kern w:val="0"/>
          <w:szCs w:val="32"/>
        </w:rPr>
        <w:t>17</w:t>
      </w:r>
      <w:r>
        <w:rPr>
          <w:rFonts w:ascii="方正仿宋_GBK"/>
          <w:kern w:val="0"/>
          <w:szCs w:val="32"/>
        </w:rPr>
        <w:t>．成都银行永川支行</w:t>
      </w:r>
    </w:p>
    <w:p>
      <w:pPr>
        <w:widowControl w:val="0"/>
        <w:snapToGrid w:val="0"/>
        <w:spacing w:line="276" w:lineRule="auto"/>
        <w:ind w:firstLine="641"/>
        <w:rPr>
          <w:rFonts w:eastAsia="宋体"/>
          <w:kern w:val="0"/>
          <w:szCs w:val="32"/>
        </w:rPr>
      </w:pPr>
      <w:r>
        <w:rPr>
          <w:rFonts w:eastAsia="宋体"/>
          <w:kern w:val="0"/>
          <w:szCs w:val="32"/>
        </w:rPr>
        <w:t>18</w:t>
      </w:r>
      <w:r>
        <w:rPr>
          <w:rFonts w:ascii="方正仿宋_GBK"/>
          <w:kern w:val="0"/>
          <w:szCs w:val="32"/>
        </w:rPr>
        <w:t>．邮政银行永川支行</w:t>
      </w:r>
    </w:p>
    <w:p>
      <w:pPr>
        <w:widowControl w:val="0"/>
        <w:snapToGrid w:val="0"/>
        <w:spacing w:line="276" w:lineRule="auto"/>
        <w:ind w:firstLine="641"/>
        <w:rPr>
          <w:rFonts w:eastAsia="宋体"/>
          <w:kern w:val="0"/>
          <w:szCs w:val="32"/>
        </w:rPr>
      </w:pPr>
      <w:r>
        <w:rPr>
          <w:rFonts w:eastAsia="宋体"/>
          <w:kern w:val="0"/>
          <w:szCs w:val="32"/>
        </w:rPr>
        <w:t>19</w:t>
      </w:r>
      <w:r>
        <w:rPr>
          <w:rFonts w:ascii="方正仿宋_GBK"/>
          <w:kern w:val="0"/>
          <w:szCs w:val="32"/>
        </w:rPr>
        <w:t>．北银村镇银行</w:t>
      </w:r>
    </w:p>
    <w:p>
      <w:pPr>
        <w:widowControl w:val="0"/>
        <w:snapToGrid w:val="0"/>
        <w:spacing w:line="276" w:lineRule="auto"/>
        <w:ind w:firstLine="641"/>
        <w:rPr>
          <w:rFonts w:eastAsia="宋体"/>
          <w:kern w:val="0"/>
          <w:szCs w:val="32"/>
        </w:rPr>
      </w:pPr>
      <w:r>
        <w:rPr>
          <w:rFonts w:eastAsia="宋体"/>
          <w:kern w:val="0"/>
          <w:szCs w:val="32"/>
        </w:rPr>
        <w:t>20</w:t>
      </w:r>
      <w:r>
        <w:rPr>
          <w:rFonts w:ascii="方正仿宋_GBK"/>
          <w:kern w:val="0"/>
          <w:szCs w:val="32"/>
        </w:rPr>
        <w:t>．民生银行永川小微支行</w:t>
      </w:r>
    </w:p>
    <w:p>
      <w:pPr>
        <w:widowControl w:val="0"/>
        <w:snapToGrid w:val="0"/>
        <w:spacing w:line="276" w:lineRule="auto"/>
        <w:ind w:firstLine="641"/>
        <w:rPr>
          <w:rFonts w:ascii="方正黑体_GBK" w:hAnsi="Calibri" w:eastAsia="方正黑体_GBK" w:cs="宋体"/>
          <w:kern w:val="0"/>
          <w:szCs w:val="32"/>
        </w:rPr>
      </w:pPr>
      <w:r>
        <w:rPr>
          <w:rFonts w:hint="eastAsia" w:ascii="方正黑体_GBK" w:hAnsi="Calibri" w:eastAsia="方正黑体_GBK" w:cs="宋体"/>
          <w:kern w:val="0"/>
          <w:szCs w:val="32"/>
        </w:rPr>
        <w:t>二、保险业金融机构</w:t>
      </w:r>
    </w:p>
    <w:p>
      <w:pPr>
        <w:widowControl w:val="0"/>
        <w:snapToGrid w:val="0"/>
        <w:spacing w:line="276" w:lineRule="auto"/>
        <w:ind w:firstLine="641"/>
        <w:rPr>
          <w:rFonts w:hint="eastAsia"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（一）寿险类</w:t>
      </w:r>
    </w:p>
    <w:p>
      <w:pPr>
        <w:widowControl w:val="0"/>
        <w:snapToGrid w:val="0"/>
        <w:spacing w:line="276" w:lineRule="auto"/>
        <w:ind w:firstLine="641"/>
        <w:rPr>
          <w:rFonts w:eastAsia="宋体"/>
          <w:kern w:val="0"/>
          <w:szCs w:val="32"/>
        </w:rPr>
      </w:pPr>
      <w:r>
        <w:rPr>
          <w:rFonts w:eastAsia="宋体"/>
          <w:kern w:val="0"/>
          <w:szCs w:val="32"/>
        </w:rPr>
        <w:t>21</w:t>
      </w:r>
      <w:r>
        <w:rPr>
          <w:rFonts w:ascii="方正仿宋_GBK"/>
          <w:kern w:val="0"/>
          <w:szCs w:val="32"/>
        </w:rPr>
        <w:t>．中国人寿永川支公司</w:t>
      </w:r>
    </w:p>
    <w:p>
      <w:pPr>
        <w:widowControl w:val="0"/>
        <w:snapToGrid w:val="0"/>
        <w:spacing w:line="276" w:lineRule="auto"/>
        <w:ind w:firstLine="641"/>
        <w:rPr>
          <w:rFonts w:eastAsia="宋体"/>
          <w:kern w:val="0"/>
          <w:szCs w:val="32"/>
        </w:rPr>
      </w:pPr>
      <w:r>
        <w:rPr>
          <w:rFonts w:eastAsia="宋体"/>
          <w:kern w:val="0"/>
          <w:szCs w:val="32"/>
        </w:rPr>
        <w:t>22</w:t>
      </w:r>
      <w:r>
        <w:rPr>
          <w:rFonts w:ascii="方正仿宋_GBK"/>
          <w:kern w:val="0"/>
          <w:szCs w:val="32"/>
        </w:rPr>
        <w:t>．平安人寿永川中心支公司</w:t>
      </w:r>
    </w:p>
    <w:p>
      <w:pPr>
        <w:widowControl w:val="0"/>
        <w:snapToGrid w:val="0"/>
        <w:spacing w:line="276" w:lineRule="auto"/>
        <w:ind w:firstLine="641"/>
        <w:rPr>
          <w:rFonts w:eastAsia="宋体"/>
          <w:kern w:val="0"/>
          <w:szCs w:val="32"/>
        </w:rPr>
      </w:pPr>
      <w:r>
        <w:rPr>
          <w:rFonts w:eastAsia="宋体"/>
          <w:kern w:val="0"/>
          <w:szCs w:val="32"/>
        </w:rPr>
        <w:t>23</w:t>
      </w:r>
      <w:r>
        <w:rPr>
          <w:rFonts w:ascii="方正仿宋_GBK"/>
          <w:kern w:val="0"/>
          <w:szCs w:val="32"/>
        </w:rPr>
        <w:t>．新华人寿永川营销部</w:t>
      </w:r>
    </w:p>
    <w:p>
      <w:pPr>
        <w:widowControl w:val="0"/>
        <w:snapToGrid w:val="0"/>
        <w:spacing w:line="276" w:lineRule="auto"/>
        <w:ind w:firstLine="641"/>
        <w:rPr>
          <w:rFonts w:eastAsia="宋体"/>
          <w:kern w:val="0"/>
          <w:szCs w:val="32"/>
        </w:rPr>
      </w:pPr>
      <w:r>
        <w:rPr>
          <w:rFonts w:eastAsia="宋体"/>
          <w:kern w:val="0"/>
          <w:szCs w:val="32"/>
        </w:rPr>
        <w:t>24</w:t>
      </w:r>
      <w:r>
        <w:rPr>
          <w:rFonts w:ascii="方正仿宋_GBK"/>
          <w:kern w:val="0"/>
          <w:szCs w:val="32"/>
        </w:rPr>
        <w:t>．太平洋人寿永川中心支公司</w:t>
      </w:r>
    </w:p>
    <w:p>
      <w:pPr>
        <w:widowControl w:val="0"/>
        <w:snapToGrid w:val="0"/>
        <w:spacing w:line="276" w:lineRule="auto"/>
        <w:ind w:firstLine="641"/>
        <w:rPr>
          <w:rFonts w:eastAsia="宋体"/>
          <w:kern w:val="0"/>
          <w:szCs w:val="32"/>
        </w:rPr>
      </w:pPr>
      <w:r>
        <w:rPr>
          <w:rFonts w:eastAsia="宋体"/>
          <w:kern w:val="0"/>
          <w:szCs w:val="32"/>
        </w:rPr>
        <w:t>25</w:t>
      </w:r>
      <w:r>
        <w:rPr>
          <w:rFonts w:ascii="方正仿宋_GBK"/>
          <w:kern w:val="0"/>
          <w:szCs w:val="32"/>
        </w:rPr>
        <w:t>．人保寿险永川中心支公司</w:t>
      </w:r>
    </w:p>
    <w:p>
      <w:pPr>
        <w:widowControl w:val="0"/>
        <w:snapToGrid w:val="0"/>
        <w:spacing w:line="276" w:lineRule="auto"/>
        <w:ind w:firstLine="641"/>
        <w:rPr>
          <w:rFonts w:eastAsia="宋体"/>
          <w:kern w:val="0"/>
          <w:szCs w:val="32"/>
        </w:rPr>
      </w:pPr>
      <w:r>
        <w:rPr>
          <w:rFonts w:eastAsia="宋体"/>
          <w:kern w:val="0"/>
          <w:szCs w:val="32"/>
        </w:rPr>
        <w:t>26</w:t>
      </w:r>
      <w:r>
        <w:rPr>
          <w:rFonts w:ascii="方正仿宋_GBK"/>
          <w:kern w:val="0"/>
          <w:szCs w:val="32"/>
        </w:rPr>
        <w:t>．阳光人寿永川中心支公司</w:t>
      </w:r>
    </w:p>
    <w:p>
      <w:pPr>
        <w:widowControl w:val="0"/>
        <w:snapToGrid w:val="0"/>
        <w:spacing w:line="276" w:lineRule="auto"/>
        <w:ind w:firstLine="641"/>
        <w:rPr>
          <w:rFonts w:eastAsia="宋体"/>
          <w:kern w:val="0"/>
          <w:szCs w:val="32"/>
        </w:rPr>
      </w:pPr>
      <w:r>
        <w:rPr>
          <w:rFonts w:eastAsia="宋体"/>
          <w:kern w:val="0"/>
          <w:szCs w:val="32"/>
        </w:rPr>
        <w:t>27</w:t>
      </w:r>
      <w:r>
        <w:rPr>
          <w:rFonts w:ascii="方正仿宋_GBK"/>
          <w:kern w:val="0"/>
          <w:szCs w:val="32"/>
        </w:rPr>
        <w:t>．泰康人寿永川中心支公司</w:t>
      </w:r>
    </w:p>
    <w:p>
      <w:pPr>
        <w:widowControl w:val="0"/>
        <w:snapToGrid w:val="0"/>
        <w:spacing w:line="276" w:lineRule="auto"/>
        <w:ind w:firstLine="641"/>
        <w:rPr>
          <w:rFonts w:eastAsia="宋体"/>
          <w:kern w:val="0"/>
          <w:szCs w:val="32"/>
        </w:rPr>
      </w:pPr>
      <w:r>
        <w:rPr>
          <w:rFonts w:eastAsia="宋体"/>
          <w:kern w:val="0"/>
          <w:szCs w:val="32"/>
        </w:rPr>
        <w:t>28</w:t>
      </w:r>
      <w:r>
        <w:rPr>
          <w:rFonts w:ascii="方正仿宋_GBK"/>
          <w:kern w:val="0"/>
          <w:szCs w:val="32"/>
        </w:rPr>
        <w:t>．富德生命人寿永川中心支公司</w:t>
      </w:r>
    </w:p>
    <w:p>
      <w:pPr>
        <w:widowControl w:val="0"/>
        <w:snapToGrid w:val="0"/>
        <w:spacing w:line="276" w:lineRule="auto"/>
        <w:ind w:firstLine="641"/>
        <w:rPr>
          <w:rFonts w:eastAsia="宋体"/>
          <w:kern w:val="0"/>
          <w:szCs w:val="32"/>
        </w:rPr>
      </w:pPr>
      <w:r>
        <w:rPr>
          <w:rFonts w:eastAsia="宋体"/>
          <w:kern w:val="0"/>
          <w:szCs w:val="32"/>
        </w:rPr>
        <w:t>29</w:t>
      </w:r>
      <w:r>
        <w:rPr>
          <w:rFonts w:ascii="方正仿宋_GBK"/>
          <w:kern w:val="0"/>
          <w:szCs w:val="32"/>
        </w:rPr>
        <w:t>．太平人寿永川中心支公司</w:t>
      </w:r>
    </w:p>
    <w:p>
      <w:pPr>
        <w:widowControl w:val="0"/>
        <w:snapToGrid w:val="0"/>
        <w:spacing w:line="276" w:lineRule="auto"/>
        <w:ind w:firstLine="641"/>
        <w:rPr>
          <w:rFonts w:eastAsia="宋体"/>
          <w:kern w:val="0"/>
          <w:szCs w:val="32"/>
        </w:rPr>
      </w:pPr>
      <w:r>
        <w:rPr>
          <w:rFonts w:eastAsia="宋体"/>
          <w:kern w:val="0"/>
          <w:szCs w:val="32"/>
        </w:rPr>
        <w:t>30</w:t>
      </w:r>
      <w:r>
        <w:rPr>
          <w:rFonts w:ascii="方正仿宋_GBK"/>
          <w:kern w:val="0"/>
          <w:szCs w:val="32"/>
        </w:rPr>
        <w:t>．恒大人寿永川营销部</w:t>
      </w:r>
    </w:p>
    <w:p>
      <w:pPr>
        <w:widowControl w:val="0"/>
        <w:snapToGrid w:val="0"/>
        <w:spacing w:line="276" w:lineRule="auto"/>
        <w:ind w:firstLine="641"/>
        <w:rPr>
          <w:rFonts w:eastAsia="宋体"/>
          <w:kern w:val="0"/>
          <w:szCs w:val="32"/>
        </w:rPr>
      </w:pPr>
      <w:r>
        <w:rPr>
          <w:rFonts w:eastAsia="宋体"/>
          <w:kern w:val="0"/>
          <w:szCs w:val="32"/>
        </w:rPr>
        <w:t>31</w:t>
      </w:r>
      <w:r>
        <w:rPr>
          <w:rFonts w:ascii="方正仿宋_GBK"/>
          <w:kern w:val="0"/>
          <w:szCs w:val="32"/>
        </w:rPr>
        <w:t>．幸福人寿永川中心支公司</w:t>
      </w:r>
    </w:p>
    <w:p>
      <w:pPr>
        <w:widowControl w:val="0"/>
        <w:snapToGrid w:val="0"/>
        <w:spacing w:line="276" w:lineRule="auto"/>
        <w:ind w:firstLine="641"/>
        <w:rPr>
          <w:rFonts w:eastAsia="宋体"/>
          <w:kern w:val="0"/>
          <w:szCs w:val="32"/>
        </w:rPr>
      </w:pPr>
      <w:r>
        <w:rPr>
          <w:rFonts w:eastAsia="宋体"/>
          <w:kern w:val="0"/>
          <w:szCs w:val="32"/>
        </w:rPr>
        <w:t>32</w:t>
      </w:r>
      <w:r>
        <w:rPr>
          <w:rFonts w:ascii="方正仿宋_GBK"/>
          <w:kern w:val="0"/>
          <w:szCs w:val="32"/>
        </w:rPr>
        <w:t>．国华人寿永川中心支公司</w:t>
      </w:r>
    </w:p>
    <w:p>
      <w:pPr>
        <w:widowControl w:val="0"/>
        <w:snapToGrid w:val="0"/>
        <w:spacing w:line="276" w:lineRule="auto"/>
        <w:ind w:firstLine="641"/>
        <w:rPr>
          <w:rFonts w:eastAsia="宋体"/>
          <w:kern w:val="0"/>
          <w:szCs w:val="32"/>
        </w:rPr>
      </w:pPr>
      <w:r>
        <w:rPr>
          <w:rFonts w:eastAsia="宋体"/>
          <w:kern w:val="0"/>
          <w:szCs w:val="32"/>
        </w:rPr>
        <w:t>33</w:t>
      </w:r>
      <w:r>
        <w:rPr>
          <w:rFonts w:ascii="方正仿宋_GBK"/>
          <w:kern w:val="0"/>
          <w:szCs w:val="32"/>
        </w:rPr>
        <w:t>．百年人寿永川中心支公司</w:t>
      </w:r>
    </w:p>
    <w:p>
      <w:pPr>
        <w:widowControl w:val="0"/>
        <w:snapToGrid w:val="0"/>
        <w:spacing w:line="276" w:lineRule="auto"/>
        <w:ind w:firstLine="641"/>
        <w:rPr>
          <w:rFonts w:hint="eastAsia"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（二）财险类</w:t>
      </w:r>
    </w:p>
    <w:p>
      <w:pPr>
        <w:widowControl w:val="0"/>
        <w:snapToGrid w:val="0"/>
        <w:spacing w:line="276" w:lineRule="auto"/>
        <w:ind w:firstLine="641"/>
        <w:rPr>
          <w:rFonts w:eastAsia="宋体"/>
          <w:kern w:val="0"/>
          <w:szCs w:val="32"/>
        </w:rPr>
      </w:pPr>
      <w:r>
        <w:rPr>
          <w:rFonts w:eastAsia="宋体"/>
          <w:kern w:val="0"/>
          <w:szCs w:val="32"/>
        </w:rPr>
        <w:t>34</w:t>
      </w:r>
      <w:r>
        <w:rPr>
          <w:rFonts w:ascii="方正仿宋_GBK"/>
          <w:kern w:val="0"/>
          <w:szCs w:val="32"/>
        </w:rPr>
        <w:t>．平安财险永川支公司</w:t>
      </w:r>
    </w:p>
    <w:p>
      <w:pPr>
        <w:widowControl w:val="0"/>
        <w:snapToGrid w:val="0"/>
        <w:spacing w:line="276" w:lineRule="auto"/>
        <w:ind w:firstLine="641"/>
        <w:rPr>
          <w:rFonts w:eastAsia="宋体"/>
          <w:kern w:val="0"/>
          <w:szCs w:val="32"/>
        </w:rPr>
      </w:pPr>
      <w:r>
        <w:rPr>
          <w:rFonts w:eastAsia="宋体"/>
          <w:kern w:val="0"/>
          <w:szCs w:val="32"/>
        </w:rPr>
        <w:t>35</w:t>
      </w:r>
      <w:r>
        <w:rPr>
          <w:rFonts w:ascii="方正仿宋_GBK"/>
          <w:kern w:val="0"/>
          <w:szCs w:val="32"/>
        </w:rPr>
        <w:t>．人保财险永川支公司</w:t>
      </w:r>
    </w:p>
    <w:p>
      <w:pPr>
        <w:widowControl w:val="0"/>
        <w:snapToGrid w:val="0"/>
        <w:spacing w:line="276" w:lineRule="auto"/>
        <w:ind w:firstLine="641"/>
        <w:rPr>
          <w:rFonts w:eastAsia="宋体"/>
          <w:kern w:val="0"/>
          <w:szCs w:val="32"/>
        </w:rPr>
      </w:pPr>
      <w:r>
        <w:rPr>
          <w:rFonts w:eastAsia="宋体"/>
          <w:kern w:val="0"/>
          <w:szCs w:val="32"/>
        </w:rPr>
        <w:t>36</w:t>
      </w:r>
      <w:r>
        <w:rPr>
          <w:rFonts w:ascii="方正仿宋_GBK"/>
          <w:kern w:val="0"/>
          <w:szCs w:val="32"/>
        </w:rPr>
        <w:t>．太平洋财险永川支公司</w:t>
      </w:r>
    </w:p>
    <w:p>
      <w:pPr>
        <w:widowControl w:val="0"/>
        <w:snapToGrid w:val="0"/>
        <w:spacing w:line="276" w:lineRule="auto"/>
        <w:ind w:firstLine="641"/>
        <w:rPr>
          <w:rFonts w:eastAsia="宋体"/>
          <w:kern w:val="0"/>
          <w:szCs w:val="32"/>
        </w:rPr>
      </w:pPr>
      <w:r>
        <w:rPr>
          <w:rFonts w:eastAsia="宋体"/>
          <w:kern w:val="0"/>
          <w:szCs w:val="32"/>
        </w:rPr>
        <w:t>37</w:t>
      </w:r>
      <w:r>
        <w:rPr>
          <w:rFonts w:ascii="方正仿宋_GBK"/>
          <w:kern w:val="0"/>
          <w:szCs w:val="32"/>
        </w:rPr>
        <w:t>．阳光财险永川中心支公司</w:t>
      </w:r>
    </w:p>
    <w:p>
      <w:pPr>
        <w:widowControl w:val="0"/>
        <w:snapToGrid w:val="0"/>
        <w:spacing w:line="276" w:lineRule="auto"/>
        <w:ind w:firstLine="641"/>
        <w:rPr>
          <w:rFonts w:eastAsia="宋体"/>
          <w:kern w:val="0"/>
          <w:szCs w:val="32"/>
        </w:rPr>
      </w:pPr>
      <w:r>
        <w:rPr>
          <w:rFonts w:eastAsia="宋体"/>
          <w:kern w:val="0"/>
          <w:szCs w:val="32"/>
        </w:rPr>
        <w:t>38</w:t>
      </w:r>
      <w:r>
        <w:rPr>
          <w:rFonts w:ascii="方正仿宋_GBK"/>
          <w:kern w:val="0"/>
          <w:szCs w:val="32"/>
        </w:rPr>
        <w:t>．中华联合财险永川中心支公司</w:t>
      </w:r>
    </w:p>
    <w:p>
      <w:pPr>
        <w:widowControl w:val="0"/>
        <w:snapToGrid w:val="0"/>
        <w:spacing w:line="276" w:lineRule="auto"/>
        <w:ind w:firstLine="641"/>
        <w:rPr>
          <w:rFonts w:eastAsia="宋体"/>
          <w:kern w:val="0"/>
          <w:szCs w:val="32"/>
        </w:rPr>
      </w:pPr>
      <w:r>
        <w:rPr>
          <w:rFonts w:eastAsia="宋体"/>
          <w:kern w:val="0"/>
          <w:szCs w:val="32"/>
        </w:rPr>
        <w:t>39</w:t>
      </w:r>
      <w:r>
        <w:rPr>
          <w:rFonts w:ascii="方正仿宋_GBK"/>
          <w:kern w:val="0"/>
          <w:szCs w:val="32"/>
        </w:rPr>
        <w:t>．安诚财险永川中心支公司</w:t>
      </w:r>
    </w:p>
    <w:p>
      <w:pPr>
        <w:widowControl w:val="0"/>
        <w:snapToGrid w:val="0"/>
        <w:spacing w:line="276" w:lineRule="auto"/>
        <w:ind w:firstLine="641"/>
        <w:rPr>
          <w:rFonts w:eastAsia="宋体"/>
          <w:kern w:val="0"/>
          <w:szCs w:val="32"/>
        </w:rPr>
      </w:pPr>
      <w:r>
        <w:rPr>
          <w:rFonts w:eastAsia="宋体"/>
          <w:kern w:val="0"/>
          <w:szCs w:val="32"/>
        </w:rPr>
        <w:t>40</w:t>
      </w:r>
      <w:r>
        <w:rPr>
          <w:rFonts w:ascii="方正仿宋_GBK"/>
          <w:kern w:val="0"/>
          <w:szCs w:val="32"/>
        </w:rPr>
        <w:t>．大地财险渝西中心支公司</w:t>
      </w:r>
    </w:p>
    <w:p>
      <w:pPr>
        <w:widowControl w:val="0"/>
        <w:snapToGrid w:val="0"/>
        <w:spacing w:line="276" w:lineRule="auto"/>
        <w:ind w:firstLine="641"/>
        <w:rPr>
          <w:rFonts w:eastAsia="宋体"/>
          <w:kern w:val="0"/>
          <w:szCs w:val="32"/>
        </w:rPr>
      </w:pPr>
      <w:r>
        <w:rPr>
          <w:rFonts w:eastAsia="宋体"/>
          <w:kern w:val="0"/>
          <w:szCs w:val="32"/>
        </w:rPr>
        <w:t>41</w:t>
      </w:r>
      <w:r>
        <w:rPr>
          <w:rFonts w:ascii="方正仿宋_GBK"/>
          <w:kern w:val="0"/>
          <w:szCs w:val="32"/>
        </w:rPr>
        <w:t>．永安财险永川支公司</w:t>
      </w:r>
    </w:p>
    <w:p>
      <w:pPr>
        <w:widowControl w:val="0"/>
        <w:snapToGrid w:val="0"/>
        <w:spacing w:line="276" w:lineRule="auto"/>
        <w:ind w:firstLine="641"/>
        <w:rPr>
          <w:rFonts w:eastAsia="宋体"/>
          <w:kern w:val="0"/>
          <w:szCs w:val="32"/>
        </w:rPr>
      </w:pPr>
      <w:r>
        <w:rPr>
          <w:rFonts w:eastAsia="宋体"/>
          <w:kern w:val="0"/>
          <w:szCs w:val="32"/>
        </w:rPr>
        <w:t>42</w:t>
      </w:r>
      <w:r>
        <w:rPr>
          <w:rFonts w:ascii="方正仿宋_GBK"/>
          <w:kern w:val="0"/>
          <w:szCs w:val="32"/>
        </w:rPr>
        <w:t>．天安保险永川支公司</w:t>
      </w:r>
    </w:p>
    <w:p>
      <w:pPr>
        <w:widowControl w:val="0"/>
        <w:snapToGrid w:val="0"/>
        <w:spacing w:line="276" w:lineRule="auto"/>
        <w:ind w:firstLine="641"/>
        <w:rPr>
          <w:rFonts w:eastAsia="宋体"/>
          <w:kern w:val="0"/>
          <w:szCs w:val="32"/>
        </w:rPr>
      </w:pPr>
      <w:r>
        <w:rPr>
          <w:rFonts w:eastAsia="宋体"/>
          <w:kern w:val="0"/>
          <w:szCs w:val="32"/>
        </w:rPr>
        <w:t>43</w:t>
      </w:r>
      <w:r>
        <w:rPr>
          <w:rFonts w:ascii="方正仿宋_GBK"/>
          <w:kern w:val="0"/>
          <w:szCs w:val="32"/>
        </w:rPr>
        <w:t>．大家财险永川支公司</w:t>
      </w:r>
    </w:p>
    <w:p>
      <w:pPr>
        <w:widowControl w:val="0"/>
        <w:snapToGrid w:val="0"/>
        <w:spacing w:line="276" w:lineRule="auto"/>
        <w:ind w:firstLine="641"/>
        <w:rPr>
          <w:rFonts w:eastAsia="宋体"/>
          <w:kern w:val="0"/>
          <w:szCs w:val="32"/>
        </w:rPr>
      </w:pPr>
      <w:r>
        <w:rPr>
          <w:rFonts w:eastAsia="宋体"/>
          <w:kern w:val="0"/>
          <w:szCs w:val="32"/>
        </w:rPr>
        <w:t>44</w:t>
      </w:r>
      <w:r>
        <w:rPr>
          <w:rFonts w:ascii="方正仿宋_GBK"/>
          <w:kern w:val="0"/>
          <w:szCs w:val="32"/>
        </w:rPr>
        <w:t>．都邦财险永川支公司</w:t>
      </w:r>
    </w:p>
    <w:p>
      <w:pPr>
        <w:widowControl w:val="0"/>
        <w:snapToGrid w:val="0"/>
        <w:spacing w:line="276" w:lineRule="auto"/>
        <w:ind w:firstLine="641"/>
        <w:rPr>
          <w:rFonts w:eastAsia="宋体"/>
          <w:kern w:val="0"/>
          <w:szCs w:val="32"/>
        </w:rPr>
      </w:pPr>
      <w:r>
        <w:rPr>
          <w:rFonts w:eastAsia="宋体"/>
          <w:kern w:val="0"/>
          <w:szCs w:val="32"/>
        </w:rPr>
        <w:t>45</w:t>
      </w:r>
      <w:r>
        <w:rPr>
          <w:rFonts w:ascii="方正仿宋_GBK"/>
          <w:kern w:val="0"/>
          <w:szCs w:val="32"/>
        </w:rPr>
        <w:t>．华安财险永川支公司</w:t>
      </w:r>
    </w:p>
    <w:p>
      <w:pPr>
        <w:widowControl w:val="0"/>
        <w:snapToGrid w:val="0"/>
        <w:spacing w:line="276" w:lineRule="auto"/>
        <w:ind w:firstLine="641"/>
        <w:rPr>
          <w:rFonts w:eastAsia="宋体"/>
          <w:kern w:val="0"/>
          <w:szCs w:val="32"/>
        </w:rPr>
      </w:pPr>
      <w:r>
        <w:rPr>
          <w:rFonts w:eastAsia="宋体"/>
          <w:kern w:val="0"/>
          <w:szCs w:val="32"/>
        </w:rPr>
        <w:t>46</w:t>
      </w:r>
      <w:r>
        <w:rPr>
          <w:rFonts w:ascii="方正仿宋_GBK"/>
          <w:kern w:val="0"/>
          <w:szCs w:val="32"/>
        </w:rPr>
        <w:t>．国任财险永川支公司</w:t>
      </w:r>
    </w:p>
    <w:p>
      <w:pPr>
        <w:widowControl w:val="0"/>
        <w:snapToGrid w:val="0"/>
        <w:spacing w:line="276" w:lineRule="auto"/>
        <w:ind w:firstLine="641"/>
        <w:rPr>
          <w:rFonts w:eastAsia="宋体"/>
          <w:kern w:val="0"/>
          <w:szCs w:val="32"/>
        </w:rPr>
      </w:pPr>
      <w:r>
        <w:rPr>
          <w:rFonts w:eastAsia="宋体"/>
          <w:kern w:val="0"/>
          <w:szCs w:val="32"/>
        </w:rPr>
        <w:t>47</w:t>
      </w:r>
      <w:r>
        <w:rPr>
          <w:rFonts w:ascii="方正仿宋_GBK"/>
          <w:kern w:val="0"/>
          <w:szCs w:val="32"/>
        </w:rPr>
        <w:t>．太平财险永川支公司</w:t>
      </w:r>
    </w:p>
    <w:p>
      <w:pPr>
        <w:widowControl w:val="0"/>
        <w:snapToGrid w:val="0"/>
        <w:spacing w:line="276" w:lineRule="auto"/>
        <w:ind w:firstLine="641"/>
        <w:rPr>
          <w:rFonts w:eastAsia="宋体"/>
          <w:kern w:val="0"/>
          <w:szCs w:val="32"/>
        </w:rPr>
      </w:pPr>
      <w:r>
        <w:rPr>
          <w:rFonts w:eastAsia="宋体"/>
          <w:kern w:val="0"/>
          <w:szCs w:val="32"/>
        </w:rPr>
        <w:t>48</w:t>
      </w:r>
      <w:r>
        <w:rPr>
          <w:rFonts w:ascii="方正仿宋_GBK"/>
          <w:kern w:val="0"/>
          <w:szCs w:val="32"/>
        </w:rPr>
        <w:t>．中国人寿财险永川支公司</w:t>
      </w:r>
    </w:p>
    <w:p>
      <w:pPr>
        <w:widowControl w:val="0"/>
        <w:snapToGrid w:val="0"/>
        <w:spacing w:line="276" w:lineRule="auto"/>
        <w:ind w:firstLine="641"/>
        <w:rPr>
          <w:rFonts w:eastAsia="宋体"/>
          <w:kern w:val="0"/>
          <w:szCs w:val="32"/>
        </w:rPr>
      </w:pPr>
      <w:r>
        <w:rPr>
          <w:rFonts w:eastAsia="宋体"/>
          <w:kern w:val="0"/>
          <w:szCs w:val="32"/>
        </w:rPr>
        <w:t>49</w:t>
      </w:r>
      <w:r>
        <w:rPr>
          <w:rFonts w:ascii="方正仿宋_GBK"/>
          <w:kern w:val="0"/>
          <w:szCs w:val="32"/>
        </w:rPr>
        <w:t>．永诚财险永川支公司</w:t>
      </w:r>
    </w:p>
    <w:p>
      <w:pPr>
        <w:widowControl w:val="0"/>
        <w:snapToGrid w:val="0"/>
        <w:spacing w:line="276" w:lineRule="auto"/>
        <w:ind w:firstLine="641"/>
        <w:rPr>
          <w:rFonts w:eastAsia="宋体"/>
          <w:kern w:val="0"/>
          <w:szCs w:val="32"/>
        </w:rPr>
      </w:pPr>
      <w:r>
        <w:rPr>
          <w:rFonts w:eastAsia="宋体"/>
          <w:kern w:val="0"/>
          <w:szCs w:val="32"/>
        </w:rPr>
        <w:t>50</w:t>
      </w:r>
      <w:r>
        <w:rPr>
          <w:rFonts w:ascii="方正仿宋_GBK"/>
          <w:kern w:val="0"/>
          <w:szCs w:val="32"/>
        </w:rPr>
        <w:t>．利宝保险永川中心支公司</w:t>
      </w:r>
    </w:p>
    <w:p>
      <w:pPr>
        <w:widowControl w:val="0"/>
        <w:snapToGrid w:val="0"/>
        <w:spacing w:line="276" w:lineRule="auto"/>
        <w:ind w:firstLine="641"/>
        <w:rPr>
          <w:rFonts w:hint="eastAsia"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（三）保险中介</w:t>
      </w:r>
    </w:p>
    <w:p>
      <w:pPr>
        <w:widowControl w:val="0"/>
        <w:snapToGrid w:val="0"/>
        <w:spacing w:line="276" w:lineRule="auto"/>
        <w:ind w:firstLine="641"/>
        <w:rPr>
          <w:rFonts w:eastAsia="宋体"/>
          <w:kern w:val="0"/>
          <w:szCs w:val="32"/>
        </w:rPr>
      </w:pPr>
      <w:r>
        <w:rPr>
          <w:rFonts w:eastAsia="宋体"/>
          <w:kern w:val="0"/>
          <w:szCs w:val="32"/>
        </w:rPr>
        <w:t>51</w:t>
      </w:r>
      <w:r>
        <w:rPr>
          <w:rFonts w:ascii="方正仿宋_GBK"/>
          <w:kern w:val="0"/>
          <w:szCs w:val="32"/>
        </w:rPr>
        <w:t>．重庆正兴保险代理有限责任公司永川分公司</w:t>
      </w:r>
    </w:p>
    <w:p>
      <w:pPr>
        <w:widowControl w:val="0"/>
        <w:snapToGrid w:val="0"/>
        <w:spacing w:line="276" w:lineRule="auto"/>
        <w:ind w:firstLine="641"/>
        <w:rPr>
          <w:rFonts w:eastAsia="宋体"/>
          <w:kern w:val="0"/>
          <w:szCs w:val="32"/>
        </w:rPr>
      </w:pPr>
      <w:r>
        <w:rPr>
          <w:rFonts w:eastAsia="宋体"/>
          <w:kern w:val="0"/>
          <w:szCs w:val="32"/>
        </w:rPr>
        <w:t>52</w:t>
      </w:r>
      <w:r>
        <w:rPr>
          <w:rFonts w:ascii="方正仿宋_GBK"/>
          <w:kern w:val="0"/>
          <w:szCs w:val="32"/>
        </w:rPr>
        <w:t>．安顺保险销售永川分公司</w:t>
      </w:r>
    </w:p>
    <w:p>
      <w:pPr>
        <w:widowControl w:val="0"/>
        <w:snapToGrid w:val="0"/>
        <w:spacing w:line="276" w:lineRule="auto"/>
        <w:ind w:firstLine="641"/>
        <w:rPr>
          <w:rFonts w:eastAsia="宋体"/>
          <w:kern w:val="0"/>
          <w:szCs w:val="32"/>
        </w:rPr>
      </w:pPr>
      <w:r>
        <w:rPr>
          <w:rFonts w:eastAsia="宋体"/>
          <w:kern w:val="0"/>
          <w:szCs w:val="32"/>
        </w:rPr>
        <w:t>53</w:t>
      </w:r>
      <w:r>
        <w:rPr>
          <w:rFonts w:ascii="方正仿宋_GBK"/>
          <w:kern w:val="0"/>
          <w:szCs w:val="32"/>
        </w:rPr>
        <w:t>．宜信博诚保险销售服务永川分公司</w:t>
      </w:r>
    </w:p>
    <w:p>
      <w:pPr>
        <w:widowControl w:val="0"/>
        <w:snapToGrid w:val="0"/>
        <w:spacing w:line="276" w:lineRule="auto"/>
        <w:ind w:firstLine="641"/>
        <w:rPr>
          <w:rFonts w:eastAsia="宋体"/>
          <w:kern w:val="0"/>
          <w:szCs w:val="32"/>
        </w:rPr>
      </w:pPr>
      <w:r>
        <w:rPr>
          <w:rFonts w:eastAsia="宋体"/>
          <w:kern w:val="0"/>
          <w:szCs w:val="32"/>
        </w:rPr>
        <w:t>54</w:t>
      </w:r>
      <w:r>
        <w:rPr>
          <w:rFonts w:ascii="方正仿宋_GBK"/>
          <w:kern w:val="0"/>
          <w:szCs w:val="32"/>
        </w:rPr>
        <w:t>．平安创展保险销售服务永川分公司</w:t>
      </w:r>
    </w:p>
    <w:p>
      <w:pPr>
        <w:widowControl w:val="0"/>
        <w:snapToGrid w:val="0"/>
        <w:spacing w:line="276" w:lineRule="auto"/>
        <w:ind w:firstLine="641"/>
        <w:rPr>
          <w:rFonts w:eastAsia="宋体"/>
          <w:kern w:val="0"/>
          <w:szCs w:val="32"/>
        </w:rPr>
      </w:pPr>
      <w:r>
        <w:rPr>
          <w:rFonts w:eastAsia="宋体"/>
          <w:kern w:val="0"/>
          <w:szCs w:val="32"/>
        </w:rPr>
        <w:t>55</w:t>
      </w:r>
      <w:r>
        <w:rPr>
          <w:rFonts w:ascii="方正仿宋_GBK"/>
          <w:kern w:val="0"/>
          <w:szCs w:val="32"/>
        </w:rPr>
        <w:t>．明亚保险经纪永川营业部</w:t>
      </w:r>
    </w:p>
    <w:p>
      <w:pPr>
        <w:widowControl w:val="0"/>
        <w:snapToGrid w:val="0"/>
        <w:spacing w:line="276" w:lineRule="auto"/>
        <w:ind w:firstLine="641"/>
        <w:rPr>
          <w:rFonts w:eastAsia="宋体"/>
          <w:kern w:val="0"/>
          <w:szCs w:val="32"/>
        </w:rPr>
      </w:pPr>
      <w:r>
        <w:rPr>
          <w:rFonts w:eastAsia="宋体"/>
          <w:kern w:val="0"/>
          <w:szCs w:val="32"/>
        </w:rPr>
        <w:t>56</w:t>
      </w:r>
      <w:r>
        <w:rPr>
          <w:rFonts w:ascii="方正仿宋_GBK"/>
          <w:kern w:val="0"/>
          <w:szCs w:val="32"/>
        </w:rPr>
        <w:t>．华康保险代理永川营业部</w:t>
      </w:r>
    </w:p>
    <w:p>
      <w:pPr>
        <w:widowControl w:val="0"/>
        <w:snapToGrid w:val="0"/>
        <w:spacing w:line="276" w:lineRule="auto"/>
        <w:ind w:firstLine="641"/>
        <w:rPr>
          <w:rFonts w:eastAsia="宋体"/>
          <w:kern w:val="0"/>
          <w:szCs w:val="32"/>
        </w:rPr>
      </w:pPr>
      <w:r>
        <w:rPr>
          <w:rFonts w:eastAsia="宋体"/>
          <w:kern w:val="0"/>
          <w:szCs w:val="32"/>
        </w:rPr>
        <w:t>57</w:t>
      </w:r>
      <w:r>
        <w:rPr>
          <w:rFonts w:ascii="方正仿宋_GBK"/>
          <w:kern w:val="0"/>
          <w:szCs w:val="32"/>
        </w:rPr>
        <w:t>．安诚保险销售有限公司重庆分公司永川营业部</w:t>
      </w:r>
    </w:p>
    <w:p>
      <w:pPr>
        <w:widowControl w:val="0"/>
        <w:snapToGrid w:val="0"/>
        <w:spacing w:line="276" w:lineRule="auto"/>
        <w:ind w:firstLine="641"/>
        <w:rPr>
          <w:rFonts w:eastAsia="宋体"/>
          <w:kern w:val="0"/>
          <w:szCs w:val="32"/>
        </w:rPr>
      </w:pPr>
      <w:r>
        <w:rPr>
          <w:rFonts w:eastAsia="宋体"/>
          <w:kern w:val="0"/>
          <w:szCs w:val="32"/>
        </w:rPr>
        <w:t>58</w:t>
      </w:r>
      <w:r>
        <w:rPr>
          <w:rFonts w:ascii="方正仿宋_GBK"/>
          <w:kern w:val="0"/>
          <w:szCs w:val="32"/>
        </w:rPr>
        <w:t>．人保汽车保险销售服务永川环北路营业部</w:t>
      </w:r>
    </w:p>
    <w:p>
      <w:pPr>
        <w:widowControl w:val="0"/>
        <w:snapToGrid w:val="0"/>
        <w:spacing w:line="276" w:lineRule="auto"/>
        <w:ind w:firstLine="641"/>
        <w:rPr>
          <w:rFonts w:eastAsia="宋体"/>
          <w:kern w:val="0"/>
          <w:szCs w:val="32"/>
        </w:rPr>
      </w:pPr>
      <w:r>
        <w:rPr>
          <w:rFonts w:eastAsia="宋体"/>
          <w:kern w:val="0"/>
          <w:szCs w:val="32"/>
        </w:rPr>
        <w:t>59</w:t>
      </w:r>
      <w:r>
        <w:rPr>
          <w:rFonts w:ascii="方正仿宋_GBK"/>
          <w:kern w:val="0"/>
          <w:szCs w:val="32"/>
        </w:rPr>
        <w:t>．泛华联兴保险销售股份有限公司重庆分公司永川营业部</w:t>
      </w:r>
    </w:p>
    <w:p>
      <w:pPr>
        <w:widowControl w:val="0"/>
        <w:snapToGrid w:val="0"/>
        <w:spacing w:line="276" w:lineRule="auto"/>
        <w:ind w:firstLine="641"/>
        <w:rPr>
          <w:rFonts w:eastAsia="宋体"/>
          <w:kern w:val="0"/>
          <w:szCs w:val="32"/>
        </w:rPr>
      </w:pPr>
      <w:r>
        <w:rPr>
          <w:rFonts w:eastAsia="宋体"/>
          <w:kern w:val="0"/>
          <w:szCs w:val="32"/>
        </w:rPr>
        <w:t>60</w:t>
      </w:r>
      <w:r>
        <w:rPr>
          <w:rFonts w:ascii="方正仿宋_GBK"/>
          <w:kern w:val="0"/>
          <w:szCs w:val="32"/>
        </w:rPr>
        <w:t>．诚安达保险销售服务有限公司永川分公司</w:t>
      </w:r>
    </w:p>
    <w:p>
      <w:pPr>
        <w:widowControl w:val="0"/>
        <w:snapToGrid w:val="0"/>
        <w:spacing w:line="276" w:lineRule="auto"/>
        <w:ind w:firstLine="641"/>
        <w:rPr>
          <w:rFonts w:ascii="方正黑体_GBK" w:hAnsi="Calibri" w:eastAsia="方正黑体_GBK" w:cs="宋体"/>
          <w:kern w:val="0"/>
          <w:szCs w:val="32"/>
        </w:rPr>
      </w:pPr>
      <w:r>
        <w:rPr>
          <w:rFonts w:hint="eastAsia" w:ascii="方正黑体_GBK" w:hAnsi="Calibri" w:eastAsia="方正黑体_GBK" w:cs="宋体"/>
          <w:kern w:val="0"/>
          <w:szCs w:val="32"/>
        </w:rPr>
        <w:t>三、证券业金融机构</w:t>
      </w:r>
    </w:p>
    <w:p>
      <w:pPr>
        <w:widowControl w:val="0"/>
        <w:snapToGrid w:val="0"/>
        <w:spacing w:line="276" w:lineRule="auto"/>
        <w:ind w:firstLine="641"/>
        <w:rPr>
          <w:rFonts w:hint="eastAsia" w:eastAsia="宋体"/>
          <w:kern w:val="0"/>
          <w:szCs w:val="32"/>
        </w:rPr>
      </w:pPr>
      <w:r>
        <w:rPr>
          <w:rFonts w:eastAsia="宋体"/>
          <w:kern w:val="0"/>
          <w:szCs w:val="32"/>
        </w:rPr>
        <w:t>61</w:t>
      </w:r>
      <w:r>
        <w:rPr>
          <w:rFonts w:ascii="方正仿宋_GBK"/>
          <w:kern w:val="0"/>
          <w:szCs w:val="32"/>
        </w:rPr>
        <w:t>．光大证券股份有限公司重庆永川证券营业部</w:t>
      </w:r>
    </w:p>
    <w:p>
      <w:pPr>
        <w:widowControl w:val="0"/>
        <w:snapToGrid w:val="0"/>
        <w:spacing w:line="276" w:lineRule="auto"/>
        <w:ind w:firstLine="641"/>
        <w:rPr>
          <w:rFonts w:eastAsia="宋体"/>
          <w:kern w:val="0"/>
          <w:szCs w:val="32"/>
        </w:rPr>
      </w:pPr>
      <w:r>
        <w:rPr>
          <w:rFonts w:eastAsia="宋体"/>
          <w:kern w:val="0"/>
          <w:szCs w:val="32"/>
        </w:rPr>
        <w:t>62</w:t>
      </w:r>
      <w:r>
        <w:rPr>
          <w:rFonts w:ascii="方正仿宋_GBK"/>
          <w:kern w:val="0"/>
          <w:szCs w:val="32"/>
        </w:rPr>
        <w:t>．西南证券股份有限公司重庆永川红河大道证券营业部</w:t>
      </w:r>
    </w:p>
    <w:p>
      <w:pPr>
        <w:widowControl w:val="0"/>
        <w:snapToGrid w:val="0"/>
        <w:spacing w:line="276" w:lineRule="auto"/>
        <w:ind w:firstLine="641"/>
        <w:rPr>
          <w:rFonts w:eastAsia="宋体"/>
          <w:kern w:val="0"/>
          <w:szCs w:val="32"/>
        </w:rPr>
      </w:pPr>
      <w:r>
        <w:rPr>
          <w:rFonts w:eastAsia="宋体"/>
          <w:kern w:val="0"/>
          <w:szCs w:val="32"/>
        </w:rPr>
        <w:t>63</w:t>
      </w:r>
      <w:r>
        <w:rPr>
          <w:rFonts w:ascii="方正仿宋_GBK"/>
          <w:kern w:val="0"/>
          <w:szCs w:val="32"/>
        </w:rPr>
        <w:t>．华龙证券股份有限公司重庆永川营业部</w:t>
      </w:r>
    </w:p>
    <w:p>
      <w:pPr>
        <w:widowControl w:val="0"/>
        <w:snapToGrid w:val="0"/>
        <w:spacing w:line="276" w:lineRule="auto"/>
        <w:ind w:firstLine="641"/>
        <w:rPr>
          <w:rFonts w:ascii="方正仿宋_GBK"/>
          <w:kern w:val="0"/>
          <w:szCs w:val="32"/>
        </w:rPr>
      </w:pPr>
      <w:r>
        <w:rPr>
          <w:rFonts w:eastAsia="宋体"/>
          <w:kern w:val="0"/>
          <w:szCs w:val="32"/>
        </w:rPr>
        <w:t>64</w:t>
      </w:r>
      <w:r>
        <w:rPr>
          <w:rFonts w:ascii="方正仿宋_GBK"/>
          <w:kern w:val="0"/>
          <w:szCs w:val="32"/>
        </w:rPr>
        <w:t>．</w:t>
      </w:r>
      <w:r>
        <w:fldChar w:fldCharType="begin"/>
      </w:r>
      <w:r>
        <w:instrText xml:space="preserve"> HYPERLINK "http://www.baidu.com/link?url=1FG7thjwEWvyGTAbnzdgDhPqAdIHMWG9JTgGPYZ59oEUJJoV4r3m5YyrbOvsiuie" \o "http://www.baidu.com/link?url=1FG7thjwEWvyGTAbnzdgDhPqAdIHMWG9JTgGPYZ59oEUJJoV4r3m5YyrbOvsiuie" </w:instrText>
      </w:r>
      <w:r>
        <w:fldChar w:fldCharType="separate"/>
      </w:r>
      <w:r>
        <w:rPr>
          <w:rFonts w:hint="eastAsia" w:ascii="方正仿宋_GBK"/>
          <w:kern w:val="0"/>
          <w:szCs w:val="32"/>
        </w:rPr>
        <w:t>爱建证券有限责任公司重庆永川兴龙大道营业部</w:t>
      </w:r>
      <w:r>
        <w:rPr>
          <w:rFonts w:hint="eastAsia" w:ascii="方正仿宋_GBK"/>
          <w:kern w:val="0"/>
          <w:szCs w:val="32"/>
        </w:rPr>
        <w:fldChar w:fldCharType="end"/>
      </w:r>
    </w:p>
    <w:p>
      <w:pPr>
        <w:widowControl w:val="0"/>
        <w:snapToGrid w:val="0"/>
        <w:spacing w:line="276" w:lineRule="auto"/>
        <w:ind w:firstLine="641"/>
        <w:rPr>
          <w:rFonts w:hint="eastAsia" w:ascii="方正黑体_GBK" w:hAnsi="Calibri" w:eastAsia="方正黑体_GBK" w:cs="宋体"/>
          <w:kern w:val="0"/>
          <w:szCs w:val="32"/>
        </w:rPr>
      </w:pPr>
      <w:r>
        <w:rPr>
          <w:rFonts w:hint="eastAsia" w:ascii="方正黑体_GBK" w:hAnsi="Calibri" w:eastAsia="方正黑体_GBK" w:cs="宋体"/>
          <w:kern w:val="0"/>
          <w:szCs w:val="32"/>
        </w:rPr>
        <w:t>四、担保公司</w:t>
      </w:r>
    </w:p>
    <w:p>
      <w:pPr>
        <w:widowControl w:val="0"/>
        <w:snapToGrid w:val="0"/>
        <w:spacing w:line="276" w:lineRule="auto"/>
        <w:ind w:firstLine="641"/>
        <w:rPr>
          <w:rFonts w:hint="eastAsia" w:eastAsia="宋体"/>
          <w:kern w:val="0"/>
          <w:szCs w:val="32"/>
        </w:rPr>
      </w:pPr>
      <w:r>
        <w:rPr>
          <w:rFonts w:eastAsia="宋体"/>
          <w:kern w:val="0"/>
          <w:szCs w:val="32"/>
        </w:rPr>
        <w:t>65</w:t>
      </w:r>
      <w:r>
        <w:rPr>
          <w:rFonts w:ascii="方正仿宋_GBK"/>
          <w:kern w:val="0"/>
          <w:szCs w:val="32"/>
        </w:rPr>
        <w:t>．重庆市永川区中小企业担保公司</w:t>
      </w:r>
    </w:p>
    <w:p>
      <w:pPr>
        <w:widowControl w:val="0"/>
        <w:snapToGrid w:val="0"/>
        <w:spacing w:line="276" w:lineRule="auto"/>
        <w:ind w:firstLine="641"/>
        <w:rPr>
          <w:rFonts w:eastAsia="宋体"/>
          <w:kern w:val="0"/>
          <w:szCs w:val="32"/>
        </w:rPr>
      </w:pPr>
      <w:r>
        <w:rPr>
          <w:rFonts w:eastAsia="宋体"/>
          <w:kern w:val="0"/>
          <w:szCs w:val="32"/>
        </w:rPr>
        <w:t>66</w:t>
      </w:r>
      <w:r>
        <w:rPr>
          <w:rFonts w:ascii="方正仿宋_GBK"/>
          <w:kern w:val="0"/>
          <w:szCs w:val="32"/>
        </w:rPr>
        <w:t>．重庆市双业融资担保有限公司</w:t>
      </w:r>
    </w:p>
    <w:p>
      <w:pPr>
        <w:widowControl w:val="0"/>
        <w:snapToGrid w:val="0"/>
        <w:spacing w:line="276" w:lineRule="auto"/>
        <w:ind w:firstLine="641"/>
        <w:rPr>
          <w:rFonts w:ascii="方正黑体_GBK" w:hAnsi="Calibri" w:eastAsia="方正黑体_GBK" w:cs="宋体"/>
          <w:kern w:val="0"/>
          <w:szCs w:val="32"/>
        </w:rPr>
      </w:pPr>
      <w:r>
        <w:rPr>
          <w:rFonts w:hint="eastAsia" w:ascii="方正黑体_GBK" w:hAnsi="Calibri" w:eastAsia="方正黑体_GBK" w:cs="宋体"/>
          <w:kern w:val="0"/>
          <w:szCs w:val="32"/>
        </w:rPr>
        <w:t>五、小贷公司</w:t>
      </w:r>
    </w:p>
    <w:p>
      <w:pPr>
        <w:widowControl w:val="0"/>
        <w:snapToGrid w:val="0"/>
        <w:spacing w:line="276" w:lineRule="auto"/>
        <w:ind w:firstLine="641"/>
        <w:rPr>
          <w:rFonts w:hint="eastAsia" w:eastAsia="宋体"/>
          <w:kern w:val="0"/>
          <w:szCs w:val="32"/>
        </w:rPr>
      </w:pPr>
      <w:r>
        <w:rPr>
          <w:rFonts w:eastAsia="宋体"/>
          <w:kern w:val="0"/>
          <w:szCs w:val="32"/>
        </w:rPr>
        <w:t>67</w:t>
      </w:r>
      <w:r>
        <w:rPr>
          <w:rFonts w:ascii="方正仿宋_GBK"/>
          <w:kern w:val="0"/>
          <w:szCs w:val="32"/>
        </w:rPr>
        <w:t>．重庆市永川区汇恒小额贷款有限公司</w:t>
      </w:r>
    </w:p>
    <w:p>
      <w:pPr>
        <w:widowControl w:val="0"/>
        <w:snapToGrid w:val="0"/>
        <w:spacing w:line="276" w:lineRule="auto"/>
        <w:ind w:firstLine="641"/>
        <w:rPr>
          <w:rFonts w:eastAsia="宋体"/>
          <w:kern w:val="0"/>
          <w:szCs w:val="32"/>
        </w:rPr>
      </w:pPr>
      <w:r>
        <w:rPr>
          <w:rFonts w:eastAsia="宋体"/>
          <w:kern w:val="0"/>
          <w:szCs w:val="32"/>
        </w:rPr>
        <w:t>68</w:t>
      </w:r>
      <w:r>
        <w:rPr>
          <w:rFonts w:ascii="方正仿宋_GBK"/>
          <w:kern w:val="0"/>
          <w:szCs w:val="32"/>
        </w:rPr>
        <w:t>．重庆市永川区巨丰小额贷款有限公司</w:t>
      </w:r>
    </w:p>
    <w:p>
      <w:pPr>
        <w:widowControl w:val="0"/>
        <w:snapToGrid w:val="0"/>
        <w:spacing w:line="276" w:lineRule="auto"/>
        <w:ind w:firstLine="641"/>
        <w:rPr>
          <w:rFonts w:eastAsia="宋体"/>
          <w:kern w:val="0"/>
          <w:szCs w:val="32"/>
        </w:rPr>
      </w:pPr>
      <w:r>
        <w:rPr>
          <w:rFonts w:eastAsia="宋体"/>
          <w:kern w:val="0"/>
          <w:szCs w:val="32"/>
        </w:rPr>
        <w:t>69</w:t>
      </w:r>
      <w:r>
        <w:rPr>
          <w:rFonts w:ascii="方正仿宋_GBK"/>
          <w:kern w:val="0"/>
          <w:szCs w:val="32"/>
        </w:rPr>
        <w:t>．重庆市永川区银桥小额贷款有限责任公司</w:t>
      </w:r>
    </w:p>
    <w:p>
      <w:pPr>
        <w:widowControl w:val="0"/>
        <w:snapToGrid w:val="0"/>
        <w:spacing w:line="276" w:lineRule="auto"/>
        <w:ind w:firstLine="641"/>
        <w:rPr>
          <w:rFonts w:eastAsia="宋体"/>
          <w:kern w:val="0"/>
          <w:szCs w:val="32"/>
        </w:rPr>
      </w:pPr>
      <w:r>
        <w:rPr>
          <w:rFonts w:eastAsia="宋体"/>
          <w:kern w:val="0"/>
          <w:szCs w:val="32"/>
        </w:rPr>
        <w:t>70</w:t>
      </w:r>
      <w:r>
        <w:rPr>
          <w:rFonts w:ascii="方正仿宋_GBK"/>
          <w:kern w:val="0"/>
          <w:szCs w:val="32"/>
        </w:rPr>
        <w:t>．重庆市永川区聚翔小额贷款有限责任公司</w:t>
      </w:r>
    </w:p>
    <w:p>
      <w:pPr>
        <w:widowControl w:val="0"/>
        <w:snapToGrid w:val="0"/>
        <w:spacing w:line="276" w:lineRule="auto"/>
        <w:ind w:firstLine="641"/>
        <w:rPr>
          <w:rFonts w:eastAsia="宋体"/>
          <w:kern w:val="0"/>
          <w:szCs w:val="32"/>
        </w:rPr>
      </w:pPr>
      <w:r>
        <w:rPr>
          <w:rFonts w:eastAsia="宋体"/>
          <w:kern w:val="0"/>
          <w:szCs w:val="32"/>
        </w:rPr>
        <w:t>71</w:t>
      </w:r>
      <w:r>
        <w:rPr>
          <w:rFonts w:ascii="方正仿宋_GBK"/>
          <w:kern w:val="0"/>
          <w:szCs w:val="32"/>
        </w:rPr>
        <w:t>．重庆市永川区亿发小额贷款有限责任公司</w:t>
      </w:r>
    </w:p>
    <w:p>
      <w:pPr>
        <w:widowControl w:val="0"/>
        <w:snapToGrid w:val="0"/>
        <w:spacing w:line="276" w:lineRule="auto"/>
        <w:ind w:firstLine="641"/>
        <w:rPr>
          <w:rFonts w:ascii="方正黑体_GBK" w:hAnsi="Calibri" w:eastAsia="方正黑体_GBK" w:cs="宋体"/>
          <w:kern w:val="0"/>
          <w:szCs w:val="32"/>
        </w:rPr>
      </w:pPr>
      <w:r>
        <w:rPr>
          <w:rFonts w:hint="eastAsia" w:ascii="方正黑体_GBK" w:hAnsi="Calibri" w:eastAsia="方正黑体_GBK" w:cs="宋体"/>
          <w:kern w:val="0"/>
          <w:szCs w:val="32"/>
        </w:rPr>
        <w:t>六、典当行</w:t>
      </w:r>
    </w:p>
    <w:p>
      <w:pPr>
        <w:widowControl w:val="0"/>
        <w:snapToGrid w:val="0"/>
        <w:spacing w:line="276" w:lineRule="auto"/>
        <w:ind w:firstLine="641"/>
        <w:rPr>
          <w:rFonts w:hint="eastAsia" w:eastAsia="宋体"/>
          <w:kern w:val="0"/>
          <w:szCs w:val="32"/>
        </w:rPr>
      </w:pPr>
      <w:r>
        <w:rPr>
          <w:rFonts w:eastAsia="宋体"/>
          <w:kern w:val="0"/>
          <w:szCs w:val="32"/>
        </w:rPr>
        <w:t>72</w:t>
      </w:r>
      <w:r>
        <w:rPr>
          <w:rFonts w:ascii="方正仿宋_GBK"/>
          <w:kern w:val="0"/>
          <w:szCs w:val="32"/>
        </w:rPr>
        <w:t>．重庆信德典当有限责任公司</w:t>
      </w:r>
    </w:p>
    <w:p>
      <w:pPr>
        <w:widowControl w:val="0"/>
        <w:snapToGrid w:val="0"/>
        <w:spacing w:line="276" w:lineRule="auto"/>
        <w:ind w:firstLine="641"/>
        <w:rPr>
          <w:rFonts w:eastAsia="宋体"/>
          <w:kern w:val="0"/>
          <w:szCs w:val="32"/>
        </w:rPr>
      </w:pPr>
      <w:r>
        <w:rPr>
          <w:rFonts w:eastAsia="宋体"/>
          <w:kern w:val="0"/>
          <w:szCs w:val="32"/>
        </w:rPr>
        <w:t>73</w:t>
      </w:r>
      <w:r>
        <w:rPr>
          <w:rFonts w:ascii="方正仿宋_GBK"/>
          <w:kern w:val="0"/>
          <w:szCs w:val="32"/>
        </w:rPr>
        <w:t>．重庆宏方典当有限公司</w:t>
      </w:r>
    </w:p>
    <w:p>
      <w:pPr>
        <w:widowControl w:val="0"/>
        <w:snapToGrid w:val="0"/>
        <w:spacing w:line="276" w:lineRule="auto"/>
        <w:ind w:firstLine="641"/>
        <w:rPr>
          <w:rFonts w:eastAsia="宋体"/>
          <w:kern w:val="0"/>
          <w:szCs w:val="32"/>
        </w:rPr>
      </w:pPr>
      <w:r>
        <w:rPr>
          <w:rFonts w:eastAsia="宋体"/>
          <w:kern w:val="0"/>
          <w:szCs w:val="32"/>
        </w:rPr>
        <w:t>74</w:t>
      </w:r>
      <w:r>
        <w:rPr>
          <w:rFonts w:ascii="方正仿宋_GBK"/>
          <w:kern w:val="0"/>
          <w:szCs w:val="32"/>
        </w:rPr>
        <w:t>．重庆大华典当有限公司</w:t>
      </w:r>
    </w:p>
    <w:p>
      <w:pPr>
        <w:widowControl w:val="0"/>
        <w:snapToGrid w:val="0"/>
        <w:spacing w:line="276" w:lineRule="auto"/>
        <w:ind w:firstLine="641"/>
        <w:rPr>
          <w:rFonts w:eastAsia="宋体"/>
          <w:kern w:val="0"/>
          <w:szCs w:val="32"/>
        </w:rPr>
      </w:pPr>
      <w:r>
        <w:rPr>
          <w:rFonts w:eastAsia="宋体"/>
          <w:kern w:val="0"/>
          <w:szCs w:val="32"/>
        </w:rPr>
        <w:t>75</w:t>
      </w:r>
      <w:r>
        <w:rPr>
          <w:rFonts w:ascii="方正仿宋_GBK"/>
          <w:kern w:val="0"/>
          <w:szCs w:val="32"/>
        </w:rPr>
        <w:t>．重庆市誉华典当有限责任公司</w:t>
      </w:r>
    </w:p>
    <w:p>
      <w:pPr>
        <w:snapToGrid w:val="0"/>
        <w:spacing w:line="276" w:lineRule="auto"/>
        <w:rPr>
          <w:rFonts w:hint="eastAsia"/>
        </w:rPr>
      </w:pPr>
      <w:r>
        <w:rPr>
          <w:rFonts w:hint="eastAsia"/>
        </w:rPr>
        <w:br w:type="page"/>
      </w:r>
    </w:p>
    <w:p>
      <w:pPr>
        <w:snapToGrid w:val="0"/>
        <w:spacing w:line="276" w:lineRule="auto"/>
        <w:rPr>
          <w:rFonts w:hint="eastAsia"/>
        </w:rPr>
      </w:pPr>
    </w:p>
    <w:p>
      <w:pPr>
        <w:pBdr>
          <w:top w:val="single" w:color="auto" w:sz="4" w:space="1"/>
          <w:bottom w:val="single" w:color="auto" w:sz="4" w:space="0"/>
        </w:pBdr>
        <w:snapToGrid w:val="0"/>
        <w:ind w:firstLine="320" w:firstLineChars="100"/>
        <w:rPr>
          <w:rFonts w:hint="eastAsia"/>
        </w:rPr>
      </w:pPr>
    </w:p>
    <w:sectPr>
      <w:headerReference r:id="rId4" w:type="default"/>
      <w:footerReference r:id="rId5" w:type="default"/>
      <w:pgSz w:w="11906" w:h="16838"/>
      <w:pgMar w:top="2098" w:right="1474" w:bottom="1984" w:left="1587" w:header="720" w:footer="1474"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I5Igu0AQAAUgMAAA4AAABkcnMv&#10;ZTJvRG9jLnhtbK1TS24bMQzdF8gdBO1jjR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hdUOKFwxEdv309fv95/PGF3JT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wjkiC7QBAABSAwAADgAAAAAAAAABACAAAAA0AQAAZHJzL2Uyb0Rv&#10;Yy54bWxQSwUGAAAAAAYABgBZAQAAWgU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JMdeebQBAABSAwAADgAAAAAAAAABACAAAAA0AQAAZHJzL2Uyb0Rv&#10;Yy54bWxQSwUGAAAAAAYABgBZAQAAWgUAAAAA&#10;">
              <v:fill on="f" focussize="0,0"/>
              <v:stroke on="f"/>
              <v:imagedata o:title=""/>
              <o:lock v:ext="edit" aspectratio="f"/>
              <v:textbox inset="0mm,0mm,0mm,0mm" style="mso-fit-shape-to-text:t;">
                <w:txbxContent>
                  <w:p>
                    <w:pPr>
                      <w:pStyle w:val="4"/>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revisionView w:markup="0"/>
  <w:trackRevisions w:val="true"/>
  <w:documentProtection w:edit="readOnly"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211.169.62:80/seeyon/officeservlet"/>
  </w:docVars>
  <w:rsids>
    <w:rsidRoot w:val="00CE3AB1"/>
    <w:rsid w:val="00000382"/>
    <w:rsid w:val="00003093"/>
    <w:rsid w:val="0000329F"/>
    <w:rsid w:val="00007FC6"/>
    <w:rsid w:val="000116DA"/>
    <w:rsid w:val="00013335"/>
    <w:rsid w:val="00014B91"/>
    <w:rsid w:val="00015E64"/>
    <w:rsid w:val="00017121"/>
    <w:rsid w:val="00017D4D"/>
    <w:rsid w:val="0002079A"/>
    <w:rsid w:val="0002225C"/>
    <w:rsid w:val="0002331B"/>
    <w:rsid w:val="0002417D"/>
    <w:rsid w:val="00024B01"/>
    <w:rsid w:val="00026F0E"/>
    <w:rsid w:val="000274E9"/>
    <w:rsid w:val="0002787B"/>
    <w:rsid w:val="00030168"/>
    <w:rsid w:val="00030F06"/>
    <w:rsid w:val="00031173"/>
    <w:rsid w:val="00031C22"/>
    <w:rsid w:val="00032977"/>
    <w:rsid w:val="00032B25"/>
    <w:rsid w:val="00033BC7"/>
    <w:rsid w:val="00034BAD"/>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2DD9"/>
    <w:rsid w:val="00063AD5"/>
    <w:rsid w:val="00065EDA"/>
    <w:rsid w:val="000660AB"/>
    <w:rsid w:val="00066D40"/>
    <w:rsid w:val="00067F0D"/>
    <w:rsid w:val="00070408"/>
    <w:rsid w:val="000713E8"/>
    <w:rsid w:val="000714DF"/>
    <w:rsid w:val="00071E64"/>
    <w:rsid w:val="000729F4"/>
    <w:rsid w:val="00073E02"/>
    <w:rsid w:val="000749FB"/>
    <w:rsid w:val="000761F2"/>
    <w:rsid w:val="000767F3"/>
    <w:rsid w:val="00084781"/>
    <w:rsid w:val="000858A8"/>
    <w:rsid w:val="00085E4B"/>
    <w:rsid w:val="00086EA6"/>
    <w:rsid w:val="000901C2"/>
    <w:rsid w:val="00091529"/>
    <w:rsid w:val="00095E80"/>
    <w:rsid w:val="0009670D"/>
    <w:rsid w:val="00096AB3"/>
    <w:rsid w:val="00097654"/>
    <w:rsid w:val="000A4164"/>
    <w:rsid w:val="000A7420"/>
    <w:rsid w:val="000A79DD"/>
    <w:rsid w:val="000B1CE9"/>
    <w:rsid w:val="000B43B8"/>
    <w:rsid w:val="000B4781"/>
    <w:rsid w:val="000B5FDB"/>
    <w:rsid w:val="000B6C65"/>
    <w:rsid w:val="000B7B3D"/>
    <w:rsid w:val="000C2038"/>
    <w:rsid w:val="000C2609"/>
    <w:rsid w:val="000C26F8"/>
    <w:rsid w:val="000C2B67"/>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0F6A19"/>
    <w:rsid w:val="00106917"/>
    <w:rsid w:val="00106DFA"/>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02A"/>
    <w:rsid w:val="00142AA9"/>
    <w:rsid w:val="00145DF4"/>
    <w:rsid w:val="00145E1D"/>
    <w:rsid w:val="00145F70"/>
    <w:rsid w:val="001475EF"/>
    <w:rsid w:val="001508A5"/>
    <w:rsid w:val="001509A5"/>
    <w:rsid w:val="0015389A"/>
    <w:rsid w:val="00153A3D"/>
    <w:rsid w:val="0015694C"/>
    <w:rsid w:val="00160E8A"/>
    <w:rsid w:val="00160F7A"/>
    <w:rsid w:val="00162C80"/>
    <w:rsid w:val="001644EB"/>
    <w:rsid w:val="0016629B"/>
    <w:rsid w:val="00166911"/>
    <w:rsid w:val="00166EAB"/>
    <w:rsid w:val="00170182"/>
    <w:rsid w:val="00171FC6"/>
    <w:rsid w:val="00175C23"/>
    <w:rsid w:val="0017677B"/>
    <w:rsid w:val="00180B55"/>
    <w:rsid w:val="00181320"/>
    <w:rsid w:val="00181EF2"/>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38EF"/>
    <w:rsid w:val="001B4706"/>
    <w:rsid w:val="001B5281"/>
    <w:rsid w:val="001B5FA3"/>
    <w:rsid w:val="001B6981"/>
    <w:rsid w:val="001B796D"/>
    <w:rsid w:val="001C0AE4"/>
    <w:rsid w:val="001C185B"/>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5F83"/>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582E"/>
    <w:rsid w:val="00205EE1"/>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067F"/>
    <w:rsid w:val="002316B7"/>
    <w:rsid w:val="00232ECA"/>
    <w:rsid w:val="00235010"/>
    <w:rsid w:val="00236D56"/>
    <w:rsid w:val="00237E75"/>
    <w:rsid w:val="002428FF"/>
    <w:rsid w:val="00242AFD"/>
    <w:rsid w:val="00245352"/>
    <w:rsid w:val="00245F32"/>
    <w:rsid w:val="00247742"/>
    <w:rsid w:val="00250124"/>
    <w:rsid w:val="00251358"/>
    <w:rsid w:val="0025248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753C0"/>
    <w:rsid w:val="002802D2"/>
    <w:rsid w:val="002808D6"/>
    <w:rsid w:val="00281BDD"/>
    <w:rsid w:val="00282903"/>
    <w:rsid w:val="0028300F"/>
    <w:rsid w:val="0028529E"/>
    <w:rsid w:val="00290500"/>
    <w:rsid w:val="00291105"/>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6951"/>
    <w:rsid w:val="002B7A47"/>
    <w:rsid w:val="002C1113"/>
    <w:rsid w:val="002C293B"/>
    <w:rsid w:val="002C3F0D"/>
    <w:rsid w:val="002C5979"/>
    <w:rsid w:val="002C667B"/>
    <w:rsid w:val="002C79F6"/>
    <w:rsid w:val="002D00D5"/>
    <w:rsid w:val="002D1241"/>
    <w:rsid w:val="002D3AF1"/>
    <w:rsid w:val="002D55E3"/>
    <w:rsid w:val="002E1618"/>
    <w:rsid w:val="002E3E9F"/>
    <w:rsid w:val="002E5373"/>
    <w:rsid w:val="002E5E4E"/>
    <w:rsid w:val="002E6016"/>
    <w:rsid w:val="002E792F"/>
    <w:rsid w:val="002F07E9"/>
    <w:rsid w:val="002F0EDC"/>
    <w:rsid w:val="002F1C37"/>
    <w:rsid w:val="002F37C5"/>
    <w:rsid w:val="002F609F"/>
    <w:rsid w:val="002F7604"/>
    <w:rsid w:val="002F7853"/>
    <w:rsid w:val="002F78BD"/>
    <w:rsid w:val="002F7CF4"/>
    <w:rsid w:val="003001CF"/>
    <w:rsid w:val="003018F7"/>
    <w:rsid w:val="00302648"/>
    <w:rsid w:val="00304155"/>
    <w:rsid w:val="00304E2D"/>
    <w:rsid w:val="00306347"/>
    <w:rsid w:val="003102BA"/>
    <w:rsid w:val="00312B2A"/>
    <w:rsid w:val="00313459"/>
    <w:rsid w:val="00313582"/>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3DB"/>
    <w:rsid w:val="00336B22"/>
    <w:rsid w:val="00336D04"/>
    <w:rsid w:val="00336FE1"/>
    <w:rsid w:val="00340685"/>
    <w:rsid w:val="003422A9"/>
    <w:rsid w:val="00342B1E"/>
    <w:rsid w:val="00344BEE"/>
    <w:rsid w:val="00346317"/>
    <w:rsid w:val="00346B6A"/>
    <w:rsid w:val="00350DEA"/>
    <w:rsid w:val="003519F0"/>
    <w:rsid w:val="003530C5"/>
    <w:rsid w:val="003536EE"/>
    <w:rsid w:val="00355240"/>
    <w:rsid w:val="003570D8"/>
    <w:rsid w:val="00357D61"/>
    <w:rsid w:val="0036009E"/>
    <w:rsid w:val="00360684"/>
    <w:rsid w:val="00360E8E"/>
    <w:rsid w:val="003611A8"/>
    <w:rsid w:val="0036123E"/>
    <w:rsid w:val="003624B5"/>
    <w:rsid w:val="00363066"/>
    <w:rsid w:val="00371B13"/>
    <w:rsid w:val="00372810"/>
    <w:rsid w:val="003770C7"/>
    <w:rsid w:val="0037719B"/>
    <w:rsid w:val="00380BB0"/>
    <w:rsid w:val="00380D5A"/>
    <w:rsid w:val="00380EB5"/>
    <w:rsid w:val="0038208F"/>
    <w:rsid w:val="00384420"/>
    <w:rsid w:val="0038564B"/>
    <w:rsid w:val="003903E3"/>
    <w:rsid w:val="003913F0"/>
    <w:rsid w:val="00391ED7"/>
    <w:rsid w:val="00392691"/>
    <w:rsid w:val="00392F1C"/>
    <w:rsid w:val="00393EDE"/>
    <w:rsid w:val="003958FD"/>
    <w:rsid w:val="00395E7E"/>
    <w:rsid w:val="00395F25"/>
    <w:rsid w:val="00397168"/>
    <w:rsid w:val="003975A3"/>
    <w:rsid w:val="003A09FD"/>
    <w:rsid w:val="003A29DE"/>
    <w:rsid w:val="003A3CA9"/>
    <w:rsid w:val="003A4168"/>
    <w:rsid w:val="003A5412"/>
    <w:rsid w:val="003A54DB"/>
    <w:rsid w:val="003A6062"/>
    <w:rsid w:val="003A627F"/>
    <w:rsid w:val="003A7B14"/>
    <w:rsid w:val="003B3200"/>
    <w:rsid w:val="003B32E3"/>
    <w:rsid w:val="003B3D8A"/>
    <w:rsid w:val="003B42C6"/>
    <w:rsid w:val="003B4FE4"/>
    <w:rsid w:val="003C0386"/>
    <w:rsid w:val="003C0792"/>
    <w:rsid w:val="003C0A11"/>
    <w:rsid w:val="003C0DA0"/>
    <w:rsid w:val="003C3572"/>
    <w:rsid w:val="003C5813"/>
    <w:rsid w:val="003C5DAC"/>
    <w:rsid w:val="003C730F"/>
    <w:rsid w:val="003D010F"/>
    <w:rsid w:val="003D197A"/>
    <w:rsid w:val="003D3543"/>
    <w:rsid w:val="003D3ABF"/>
    <w:rsid w:val="003D5597"/>
    <w:rsid w:val="003D5CA0"/>
    <w:rsid w:val="003D61DD"/>
    <w:rsid w:val="003D6C3C"/>
    <w:rsid w:val="003D7775"/>
    <w:rsid w:val="003E0FD8"/>
    <w:rsid w:val="003E4469"/>
    <w:rsid w:val="003E5B6C"/>
    <w:rsid w:val="003F01E8"/>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2C70"/>
    <w:rsid w:val="004563B2"/>
    <w:rsid w:val="00456F24"/>
    <w:rsid w:val="00456FE6"/>
    <w:rsid w:val="004648E5"/>
    <w:rsid w:val="00466CDC"/>
    <w:rsid w:val="004670BA"/>
    <w:rsid w:val="0047035B"/>
    <w:rsid w:val="004707C9"/>
    <w:rsid w:val="00471DD3"/>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2867"/>
    <w:rsid w:val="00493354"/>
    <w:rsid w:val="0049361E"/>
    <w:rsid w:val="00497655"/>
    <w:rsid w:val="004A1974"/>
    <w:rsid w:val="004A1B93"/>
    <w:rsid w:val="004A22B3"/>
    <w:rsid w:val="004A276A"/>
    <w:rsid w:val="004A27F8"/>
    <w:rsid w:val="004A4E91"/>
    <w:rsid w:val="004A5289"/>
    <w:rsid w:val="004A55B2"/>
    <w:rsid w:val="004A55BD"/>
    <w:rsid w:val="004A5797"/>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D7ADF"/>
    <w:rsid w:val="004E045E"/>
    <w:rsid w:val="004E1E59"/>
    <w:rsid w:val="004E2003"/>
    <w:rsid w:val="004E34B5"/>
    <w:rsid w:val="004E4451"/>
    <w:rsid w:val="004E4AB6"/>
    <w:rsid w:val="004E5B19"/>
    <w:rsid w:val="004E5EA4"/>
    <w:rsid w:val="004E6476"/>
    <w:rsid w:val="004F2EF7"/>
    <w:rsid w:val="004F4E03"/>
    <w:rsid w:val="004F4E3A"/>
    <w:rsid w:val="004F4E6A"/>
    <w:rsid w:val="004F632C"/>
    <w:rsid w:val="00501FED"/>
    <w:rsid w:val="00503CBB"/>
    <w:rsid w:val="0050495F"/>
    <w:rsid w:val="00504D06"/>
    <w:rsid w:val="00505CF1"/>
    <w:rsid w:val="00506108"/>
    <w:rsid w:val="00506344"/>
    <w:rsid w:val="005063E2"/>
    <w:rsid w:val="005073B3"/>
    <w:rsid w:val="005075C4"/>
    <w:rsid w:val="00511CF8"/>
    <w:rsid w:val="005166EF"/>
    <w:rsid w:val="00517738"/>
    <w:rsid w:val="00517C76"/>
    <w:rsid w:val="00521D36"/>
    <w:rsid w:val="00522785"/>
    <w:rsid w:val="00523D39"/>
    <w:rsid w:val="00525073"/>
    <w:rsid w:val="0052522F"/>
    <w:rsid w:val="00526832"/>
    <w:rsid w:val="00527BE2"/>
    <w:rsid w:val="00527C67"/>
    <w:rsid w:val="0053488A"/>
    <w:rsid w:val="00534AB0"/>
    <w:rsid w:val="005355AE"/>
    <w:rsid w:val="00541744"/>
    <w:rsid w:val="00544048"/>
    <w:rsid w:val="0054408A"/>
    <w:rsid w:val="0054409A"/>
    <w:rsid w:val="00547913"/>
    <w:rsid w:val="00552ABE"/>
    <w:rsid w:val="00553517"/>
    <w:rsid w:val="005537DE"/>
    <w:rsid w:val="005550A0"/>
    <w:rsid w:val="0055528E"/>
    <w:rsid w:val="00555808"/>
    <w:rsid w:val="00555C9A"/>
    <w:rsid w:val="0056303B"/>
    <w:rsid w:val="005633B2"/>
    <w:rsid w:val="005645AA"/>
    <w:rsid w:val="00564F93"/>
    <w:rsid w:val="0056672E"/>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19F"/>
    <w:rsid w:val="005A36D7"/>
    <w:rsid w:val="005A64F6"/>
    <w:rsid w:val="005B030E"/>
    <w:rsid w:val="005B0E4B"/>
    <w:rsid w:val="005B13FB"/>
    <w:rsid w:val="005B2CD4"/>
    <w:rsid w:val="005B3681"/>
    <w:rsid w:val="005B5828"/>
    <w:rsid w:val="005B7D6F"/>
    <w:rsid w:val="005C176B"/>
    <w:rsid w:val="005C31F3"/>
    <w:rsid w:val="005C361D"/>
    <w:rsid w:val="005C3DA5"/>
    <w:rsid w:val="005C5515"/>
    <w:rsid w:val="005C771F"/>
    <w:rsid w:val="005D06DD"/>
    <w:rsid w:val="005D2C60"/>
    <w:rsid w:val="005D765C"/>
    <w:rsid w:val="005D78D1"/>
    <w:rsid w:val="005E2129"/>
    <w:rsid w:val="005E339F"/>
    <w:rsid w:val="005E4D94"/>
    <w:rsid w:val="005F01D9"/>
    <w:rsid w:val="005F2796"/>
    <w:rsid w:val="005F2B66"/>
    <w:rsid w:val="005F4EF1"/>
    <w:rsid w:val="005F6171"/>
    <w:rsid w:val="005F7336"/>
    <w:rsid w:val="005F7C32"/>
    <w:rsid w:val="0060015B"/>
    <w:rsid w:val="00601AEE"/>
    <w:rsid w:val="00605861"/>
    <w:rsid w:val="00606B42"/>
    <w:rsid w:val="00607B3F"/>
    <w:rsid w:val="00610347"/>
    <w:rsid w:val="00610419"/>
    <w:rsid w:val="006109BE"/>
    <w:rsid w:val="00611EEE"/>
    <w:rsid w:val="00612373"/>
    <w:rsid w:val="006142A0"/>
    <w:rsid w:val="00615CA2"/>
    <w:rsid w:val="006162DD"/>
    <w:rsid w:val="00616B00"/>
    <w:rsid w:val="00617191"/>
    <w:rsid w:val="00617CF7"/>
    <w:rsid w:val="00621730"/>
    <w:rsid w:val="0062280C"/>
    <w:rsid w:val="00622C30"/>
    <w:rsid w:val="006230A9"/>
    <w:rsid w:val="006231AB"/>
    <w:rsid w:val="0062542F"/>
    <w:rsid w:val="006265EB"/>
    <w:rsid w:val="0062703C"/>
    <w:rsid w:val="006275AA"/>
    <w:rsid w:val="00631FFA"/>
    <w:rsid w:val="006400EF"/>
    <w:rsid w:val="00640E01"/>
    <w:rsid w:val="00640FC0"/>
    <w:rsid w:val="00641C93"/>
    <w:rsid w:val="00642FD9"/>
    <w:rsid w:val="00643053"/>
    <w:rsid w:val="006446AD"/>
    <w:rsid w:val="0064596F"/>
    <w:rsid w:val="006461FA"/>
    <w:rsid w:val="00646FA8"/>
    <w:rsid w:val="00647779"/>
    <w:rsid w:val="006507D1"/>
    <w:rsid w:val="00652324"/>
    <w:rsid w:val="006526DA"/>
    <w:rsid w:val="00654D32"/>
    <w:rsid w:val="00655280"/>
    <w:rsid w:val="00655BFB"/>
    <w:rsid w:val="006568D4"/>
    <w:rsid w:val="0066022F"/>
    <w:rsid w:val="00660332"/>
    <w:rsid w:val="0066095C"/>
    <w:rsid w:val="00662C3F"/>
    <w:rsid w:val="00663278"/>
    <w:rsid w:val="006637B3"/>
    <w:rsid w:val="00665338"/>
    <w:rsid w:val="00665AC4"/>
    <w:rsid w:val="0066777D"/>
    <w:rsid w:val="006718B7"/>
    <w:rsid w:val="006729CE"/>
    <w:rsid w:val="006734B4"/>
    <w:rsid w:val="00674AF6"/>
    <w:rsid w:val="00674C3A"/>
    <w:rsid w:val="00674F34"/>
    <w:rsid w:val="00677696"/>
    <w:rsid w:val="00680191"/>
    <w:rsid w:val="006812CB"/>
    <w:rsid w:val="0068243F"/>
    <w:rsid w:val="00683589"/>
    <w:rsid w:val="00685C1D"/>
    <w:rsid w:val="00687CBB"/>
    <w:rsid w:val="006912AB"/>
    <w:rsid w:val="006A0687"/>
    <w:rsid w:val="006A06AC"/>
    <w:rsid w:val="006A2A41"/>
    <w:rsid w:val="006A37F9"/>
    <w:rsid w:val="006A5983"/>
    <w:rsid w:val="006A6056"/>
    <w:rsid w:val="006A72DD"/>
    <w:rsid w:val="006A7719"/>
    <w:rsid w:val="006A7FC8"/>
    <w:rsid w:val="006B0734"/>
    <w:rsid w:val="006B0914"/>
    <w:rsid w:val="006B0CB0"/>
    <w:rsid w:val="006B12E1"/>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44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6F6807"/>
    <w:rsid w:val="00700DB7"/>
    <w:rsid w:val="00701690"/>
    <w:rsid w:val="0070368B"/>
    <w:rsid w:val="007069BB"/>
    <w:rsid w:val="00710CEA"/>
    <w:rsid w:val="00711FF0"/>
    <w:rsid w:val="00712141"/>
    <w:rsid w:val="007123DE"/>
    <w:rsid w:val="007144F4"/>
    <w:rsid w:val="007164B9"/>
    <w:rsid w:val="007164FB"/>
    <w:rsid w:val="00721D23"/>
    <w:rsid w:val="00721FD5"/>
    <w:rsid w:val="0072376D"/>
    <w:rsid w:val="0072529B"/>
    <w:rsid w:val="00725E29"/>
    <w:rsid w:val="007260CA"/>
    <w:rsid w:val="00727F71"/>
    <w:rsid w:val="007303B8"/>
    <w:rsid w:val="00733008"/>
    <w:rsid w:val="007332DE"/>
    <w:rsid w:val="00737AE4"/>
    <w:rsid w:val="00740AAD"/>
    <w:rsid w:val="007413AF"/>
    <w:rsid w:val="00742385"/>
    <w:rsid w:val="00743812"/>
    <w:rsid w:val="00743940"/>
    <w:rsid w:val="00745ADA"/>
    <w:rsid w:val="00746629"/>
    <w:rsid w:val="00747577"/>
    <w:rsid w:val="007517B2"/>
    <w:rsid w:val="0075193E"/>
    <w:rsid w:val="00752483"/>
    <w:rsid w:val="007527F6"/>
    <w:rsid w:val="007534DB"/>
    <w:rsid w:val="00753C14"/>
    <w:rsid w:val="00753CF7"/>
    <w:rsid w:val="00754ECE"/>
    <w:rsid w:val="00755A0B"/>
    <w:rsid w:val="00757405"/>
    <w:rsid w:val="00760E60"/>
    <w:rsid w:val="0076159F"/>
    <w:rsid w:val="00761810"/>
    <w:rsid w:val="00764F3C"/>
    <w:rsid w:val="00766BBE"/>
    <w:rsid w:val="00770632"/>
    <w:rsid w:val="00770B22"/>
    <w:rsid w:val="0077352A"/>
    <w:rsid w:val="00773980"/>
    <w:rsid w:val="007741CD"/>
    <w:rsid w:val="00774A71"/>
    <w:rsid w:val="00774FF8"/>
    <w:rsid w:val="00775F80"/>
    <w:rsid w:val="00775F81"/>
    <w:rsid w:val="00781E6E"/>
    <w:rsid w:val="00782A04"/>
    <w:rsid w:val="00783418"/>
    <w:rsid w:val="007835AD"/>
    <w:rsid w:val="00787B1F"/>
    <w:rsid w:val="007916DF"/>
    <w:rsid w:val="0079195B"/>
    <w:rsid w:val="007919A3"/>
    <w:rsid w:val="00791C06"/>
    <w:rsid w:val="0079556B"/>
    <w:rsid w:val="007959AF"/>
    <w:rsid w:val="00796335"/>
    <w:rsid w:val="00796D9E"/>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205"/>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4A1F"/>
    <w:rsid w:val="007D50E5"/>
    <w:rsid w:val="007D5AE9"/>
    <w:rsid w:val="007E01E1"/>
    <w:rsid w:val="007E04A2"/>
    <w:rsid w:val="007E0DD6"/>
    <w:rsid w:val="007E25A3"/>
    <w:rsid w:val="007E2840"/>
    <w:rsid w:val="007E4AD3"/>
    <w:rsid w:val="007E4E90"/>
    <w:rsid w:val="007E7945"/>
    <w:rsid w:val="007F2486"/>
    <w:rsid w:val="007F7679"/>
    <w:rsid w:val="007F796B"/>
    <w:rsid w:val="00803248"/>
    <w:rsid w:val="0080486D"/>
    <w:rsid w:val="00805493"/>
    <w:rsid w:val="008073F7"/>
    <w:rsid w:val="008129A6"/>
    <w:rsid w:val="0081441E"/>
    <w:rsid w:val="008149ED"/>
    <w:rsid w:val="008203D2"/>
    <w:rsid w:val="00820AB7"/>
    <w:rsid w:val="0082111A"/>
    <w:rsid w:val="00821D6E"/>
    <w:rsid w:val="00823BB0"/>
    <w:rsid w:val="008263A4"/>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084"/>
    <w:rsid w:val="00852839"/>
    <w:rsid w:val="00854165"/>
    <w:rsid w:val="00854518"/>
    <w:rsid w:val="00854E46"/>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273F"/>
    <w:rsid w:val="008A31AB"/>
    <w:rsid w:val="008A3431"/>
    <w:rsid w:val="008A37BF"/>
    <w:rsid w:val="008A4020"/>
    <w:rsid w:val="008A64E8"/>
    <w:rsid w:val="008B0970"/>
    <w:rsid w:val="008B11F2"/>
    <w:rsid w:val="008B35DF"/>
    <w:rsid w:val="008B3AF0"/>
    <w:rsid w:val="008B5BED"/>
    <w:rsid w:val="008B7C55"/>
    <w:rsid w:val="008C0E9A"/>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27B1"/>
    <w:rsid w:val="008D36F6"/>
    <w:rsid w:val="008E0C57"/>
    <w:rsid w:val="008E10B6"/>
    <w:rsid w:val="008E34E6"/>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0F05"/>
    <w:rsid w:val="009127E4"/>
    <w:rsid w:val="00912D37"/>
    <w:rsid w:val="009144A2"/>
    <w:rsid w:val="00915305"/>
    <w:rsid w:val="0091584A"/>
    <w:rsid w:val="00915BDF"/>
    <w:rsid w:val="009174F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89A"/>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B59"/>
    <w:rsid w:val="00963F82"/>
    <w:rsid w:val="009645A2"/>
    <w:rsid w:val="009671F5"/>
    <w:rsid w:val="00967785"/>
    <w:rsid w:val="009677B5"/>
    <w:rsid w:val="00967A48"/>
    <w:rsid w:val="00971B4F"/>
    <w:rsid w:val="009738C6"/>
    <w:rsid w:val="00974996"/>
    <w:rsid w:val="009766D9"/>
    <w:rsid w:val="00976D3F"/>
    <w:rsid w:val="009778FB"/>
    <w:rsid w:val="0098484C"/>
    <w:rsid w:val="00986106"/>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66BD"/>
    <w:rsid w:val="009C7C4F"/>
    <w:rsid w:val="009C7F74"/>
    <w:rsid w:val="009D07B0"/>
    <w:rsid w:val="009D089F"/>
    <w:rsid w:val="009D15D5"/>
    <w:rsid w:val="009D1802"/>
    <w:rsid w:val="009D3705"/>
    <w:rsid w:val="009D3DCE"/>
    <w:rsid w:val="009E0C60"/>
    <w:rsid w:val="009E1DFA"/>
    <w:rsid w:val="009E1FEE"/>
    <w:rsid w:val="009E24ED"/>
    <w:rsid w:val="009E2A91"/>
    <w:rsid w:val="009E2E51"/>
    <w:rsid w:val="009E32E7"/>
    <w:rsid w:val="009E702A"/>
    <w:rsid w:val="009E7151"/>
    <w:rsid w:val="009E7DBD"/>
    <w:rsid w:val="009F4DE8"/>
    <w:rsid w:val="009F519F"/>
    <w:rsid w:val="009F52B4"/>
    <w:rsid w:val="009F56BD"/>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1ACE"/>
    <w:rsid w:val="00A43770"/>
    <w:rsid w:val="00A475F1"/>
    <w:rsid w:val="00A47AAA"/>
    <w:rsid w:val="00A511A1"/>
    <w:rsid w:val="00A51228"/>
    <w:rsid w:val="00A5130D"/>
    <w:rsid w:val="00A51AA8"/>
    <w:rsid w:val="00A552FC"/>
    <w:rsid w:val="00A55473"/>
    <w:rsid w:val="00A56F21"/>
    <w:rsid w:val="00A607D0"/>
    <w:rsid w:val="00A60EDC"/>
    <w:rsid w:val="00A621A0"/>
    <w:rsid w:val="00A621AE"/>
    <w:rsid w:val="00A62796"/>
    <w:rsid w:val="00A62E0E"/>
    <w:rsid w:val="00A64F69"/>
    <w:rsid w:val="00A65230"/>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7BB"/>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03E6"/>
    <w:rsid w:val="00AB1FF0"/>
    <w:rsid w:val="00AB2B4D"/>
    <w:rsid w:val="00AB33DD"/>
    <w:rsid w:val="00AB47D5"/>
    <w:rsid w:val="00AB47DB"/>
    <w:rsid w:val="00AB49AD"/>
    <w:rsid w:val="00AB6040"/>
    <w:rsid w:val="00AB6417"/>
    <w:rsid w:val="00AB6EC4"/>
    <w:rsid w:val="00AC06CA"/>
    <w:rsid w:val="00AC23E1"/>
    <w:rsid w:val="00AC2503"/>
    <w:rsid w:val="00AC4E5F"/>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821"/>
    <w:rsid w:val="00AF3B5C"/>
    <w:rsid w:val="00AF4B25"/>
    <w:rsid w:val="00AF515F"/>
    <w:rsid w:val="00B005D1"/>
    <w:rsid w:val="00B00972"/>
    <w:rsid w:val="00B010DC"/>
    <w:rsid w:val="00B04492"/>
    <w:rsid w:val="00B04AD4"/>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DA2"/>
    <w:rsid w:val="00B40EC6"/>
    <w:rsid w:val="00B44189"/>
    <w:rsid w:val="00B45963"/>
    <w:rsid w:val="00B467AD"/>
    <w:rsid w:val="00B46EAC"/>
    <w:rsid w:val="00B472A8"/>
    <w:rsid w:val="00B51CF1"/>
    <w:rsid w:val="00B521BE"/>
    <w:rsid w:val="00B5316B"/>
    <w:rsid w:val="00B54524"/>
    <w:rsid w:val="00B5461D"/>
    <w:rsid w:val="00B5566A"/>
    <w:rsid w:val="00B55B42"/>
    <w:rsid w:val="00B55C17"/>
    <w:rsid w:val="00B568CA"/>
    <w:rsid w:val="00B615D8"/>
    <w:rsid w:val="00B618AC"/>
    <w:rsid w:val="00B621AB"/>
    <w:rsid w:val="00B62302"/>
    <w:rsid w:val="00B6232D"/>
    <w:rsid w:val="00B64CB4"/>
    <w:rsid w:val="00B6690F"/>
    <w:rsid w:val="00B67B40"/>
    <w:rsid w:val="00B67BCA"/>
    <w:rsid w:val="00B72FA8"/>
    <w:rsid w:val="00B7536B"/>
    <w:rsid w:val="00B75395"/>
    <w:rsid w:val="00B763A1"/>
    <w:rsid w:val="00B80A58"/>
    <w:rsid w:val="00B826EB"/>
    <w:rsid w:val="00B84751"/>
    <w:rsid w:val="00B8494A"/>
    <w:rsid w:val="00B870C1"/>
    <w:rsid w:val="00B9069B"/>
    <w:rsid w:val="00B91D9C"/>
    <w:rsid w:val="00B93A30"/>
    <w:rsid w:val="00B94AB3"/>
    <w:rsid w:val="00B96E8E"/>
    <w:rsid w:val="00BA2005"/>
    <w:rsid w:val="00BA28A7"/>
    <w:rsid w:val="00BA3266"/>
    <w:rsid w:val="00BA60DC"/>
    <w:rsid w:val="00BA6B34"/>
    <w:rsid w:val="00BB04EE"/>
    <w:rsid w:val="00BB403C"/>
    <w:rsid w:val="00BB4E1C"/>
    <w:rsid w:val="00BC18BD"/>
    <w:rsid w:val="00BC1E02"/>
    <w:rsid w:val="00BC1FCD"/>
    <w:rsid w:val="00BC36E9"/>
    <w:rsid w:val="00BC3715"/>
    <w:rsid w:val="00BC5266"/>
    <w:rsid w:val="00BC5BFA"/>
    <w:rsid w:val="00BC67BD"/>
    <w:rsid w:val="00BC6EAF"/>
    <w:rsid w:val="00BD09B6"/>
    <w:rsid w:val="00BD1145"/>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371"/>
    <w:rsid w:val="00C046EE"/>
    <w:rsid w:val="00C0530B"/>
    <w:rsid w:val="00C066E5"/>
    <w:rsid w:val="00C068AF"/>
    <w:rsid w:val="00C10869"/>
    <w:rsid w:val="00C10C4D"/>
    <w:rsid w:val="00C13F06"/>
    <w:rsid w:val="00C16C53"/>
    <w:rsid w:val="00C20921"/>
    <w:rsid w:val="00C2092F"/>
    <w:rsid w:val="00C219A6"/>
    <w:rsid w:val="00C22CAC"/>
    <w:rsid w:val="00C2344D"/>
    <w:rsid w:val="00C24086"/>
    <w:rsid w:val="00C259E3"/>
    <w:rsid w:val="00C2703A"/>
    <w:rsid w:val="00C33CAD"/>
    <w:rsid w:val="00C3502E"/>
    <w:rsid w:val="00C40344"/>
    <w:rsid w:val="00C4048E"/>
    <w:rsid w:val="00C4121F"/>
    <w:rsid w:val="00C41547"/>
    <w:rsid w:val="00C41F3F"/>
    <w:rsid w:val="00C42523"/>
    <w:rsid w:val="00C436F3"/>
    <w:rsid w:val="00C43896"/>
    <w:rsid w:val="00C4461E"/>
    <w:rsid w:val="00C44B4C"/>
    <w:rsid w:val="00C45EAC"/>
    <w:rsid w:val="00C46540"/>
    <w:rsid w:val="00C46AF7"/>
    <w:rsid w:val="00C50448"/>
    <w:rsid w:val="00C5060F"/>
    <w:rsid w:val="00C506EA"/>
    <w:rsid w:val="00C512E0"/>
    <w:rsid w:val="00C51825"/>
    <w:rsid w:val="00C51C7A"/>
    <w:rsid w:val="00C52073"/>
    <w:rsid w:val="00C52331"/>
    <w:rsid w:val="00C609E9"/>
    <w:rsid w:val="00C6147B"/>
    <w:rsid w:val="00C618EE"/>
    <w:rsid w:val="00C61B0B"/>
    <w:rsid w:val="00C61F68"/>
    <w:rsid w:val="00C62314"/>
    <w:rsid w:val="00C633D2"/>
    <w:rsid w:val="00C63AE6"/>
    <w:rsid w:val="00C6664E"/>
    <w:rsid w:val="00C669A6"/>
    <w:rsid w:val="00C700EA"/>
    <w:rsid w:val="00C70DA2"/>
    <w:rsid w:val="00C74178"/>
    <w:rsid w:val="00C81220"/>
    <w:rsid w:val="00C813EC"/>
    <w:rsid w:val="00C81540"/>
    <w:rsid w:val="00C81BA6"/>
    <w:rsid w:val="00C820D0"/>
    <w:rsid w:val="00C86C66"/>
    <w:rsid w:val="00C90238"/>
    <w:rsid w:val="00C91605"/>
    <w:rsid w:val="00C923FF"/>
    <w:rsid w:val="00C92A4B"/>
    <w:rsid w:val="00C9346F"/>
    <w:rsid w:val="00C93652"/>
    <w:rsid w:val="00C94455"/>
    <w:rsid w:val="00C9497A"/>
    <w:rsid w:val="00C94C33"/>
    <w:rsid w:val="00C957C9"/>
    <w:rsid w:val="00C9630F"/>
    <w:rsid w:val="00C963C8"/>
    <w:rsid w:val="00C97D88"/>
    <w:rsid w:val="00CA03B8"/>
    <w:rsid w:val="00CA0828"/>
    <w:rsid w:val="00CA102E"/>
    <w:rsid w:val="00CA1500"/>
    <w:rsid w:val="00CA40B0"/>
    <w:rsid w:val="00CA4324"/>
    <w:rsid w:val="00CA6D37"/>
    <w:rsid w:val="00CB271C"/>
    <w:rsid w:val="00CB2D6D"/>
    <w:rsid w:val="00CB3596"/>
    <w:rsid w:val="00CB40FF"/>
    <w:rsid w:val="00CB4639"/>
    <w:rsid w:val="00CB488B"/>
    <w:rsid w:val="00CB4FA8"/>
    <w:rsid w:val="00CB7034"/>
    <w:rsid w:val="00CC14CA"/>
    <w:rsid w:val="00CC1892"/>
    <w:rsid w:val="00CC23F7"/>
    <w:rsid w:val="00CC28B5"/>
    <w:rsid w:val="00CC2B6F"/>
    <w:rsid w:val="00CC41B9"/>
    <w:rsid w:val="00CC6BF9"/>
    <w:rsid w:val="00CD05B6"/>
    <w:rsid w:val="00CD08A3"/>
    <w:rsid w:val="00CD0AB2"/>
    <w:rsid w:val="00CD1289"/>
    <w:rsid w:val="00CD1563"/>
    <w:rsid w:val="00CD215C"/>
    <w:rsid w:val="00CD2B45"/>
    <w:rsid w:val="00CD30CA"/>
    <w:rsid w:val="00CD3B04"/>
    <w:rsid w:val="00CD4451"/>
    <w:rsid w:val="00CD5423"/>
    <w:rsid w:val="00CD6589"/>
    <w:rsid w:val="00CD7591"/>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1DD5"/>
    <w:rsid w:val="00D3260C"/>
    <w:rsid w:val="00D32E49"/>
    <w:rsid w:val="00D32EB9"/>
    <w:rsid w:val="00D344A0"/>
    <w:rsid w:val="00D35C13"/>
    <w:rsid w:val="00D36772"/>
    <w:rsid w:val="00D3709F"/>
    <w:rsid w:val="00D37FDF"/>
    <w:rsid w:val="00D43168"/>
    <w:rsid w:val="00D44201"/>
    <w:rsid w:val="00D449A0"/>
    <w:rsid w:val="00D45301"/>
    <w:rsid w:val="00D458C9"/>
    <w:rsid w:val="00D51B3F"/>
    <w:rsid w:val="00D5420C"/>
    <w:rsid w:val="00D56306"/>
    <w:rsid w:val="00D57352"/>
    <w:rsid w:val="00D629FE"/>
    <w:rsid w:val="00D62DA9"/>
    <w:rsid w:val="00D64930"/>
    <w:rsid w:val="00D65113"/>
    <w:rsid w:val="00D6531C"/>
    <w:rsid w:val="00D66062"/>
    <w:rsid w:val="00D670CB"/>
    <w:rsid w:val="00D70611"/>
    <w:rsid w:val="00D71EB8"/>
    <w:rsid w:val="00D729CA"/>
    <w:rsid w:val="00D72A74"/>
    <w:rsid w:val="00D7510F"/>
    <w:rsid w:val="00D76291"/>
    <w:rsid w:val="00D80898"/>
    <w:rsid w:val="00D80C4C"/>
    <w:rsid w:val="00D821D8"/>
    <w:rsid w:val="00D82C34"/>
    <w:rsid w:val="00D83C6D"/>
    <w:rsid w:val="00D83E69"/>
    <w:rsid w:val="00D852CF"/>
    <w:rsid w:val="00D856F4"/>
    <w:rsid w:val="00D856F8"/>
    <w:rsid w:val="00D87744"/>
    <w:rsid w:val="00D91313"/>
    <w:rsid w:val="00D9153C"/>
    <w:rsid w:val="00D93A82"/>
    <w:rsid w:val="00D93A98"/>
    <w:rsid w:val="00D93FF7"/>
    <w:rsid w:val="00D941AB"/>
    <w:rsid w:val="00D960DF"/>
    <w:rsid w:val="00D9789E"/>
    <w:rsid w:val="00D97E6F"/>
    <w:rsid w:val="00D97F5F"/>
    <w:rsid w:val="00DA00D5"/>
    <w:rsid w:val="00DA0622"/>
    <w:rsid w:val="00DA0667"/>
    <w:rsid w:val="00DA0EB1"/>
    <w:rsid w:val="00DA105E"/>
    <w:rsid w:val="00DA1465"/>
    <w:rsid w:val="00DA1609"/>
    <w:rsid w:val="00DA21F5"/>
    <w:rsid w:val="00DA35B9"/>
    <w:rsid w:val="00DA478B"/>
    <w:rsid w:val="00DA4A04"/>
    <w:rsid w:val="00DA58BC"/>
    <w:rsid w:val="00DB09F4"/>
    <w:rsid w:val="00DB1E63"/>
    <w:rsid w:val="00DB2795"/>
    <w:rsid w:val="00DB2EB6"/>
    <w:rsid w:val="00DB347E"/>
    <w:rsid w:val="00DB58A0"/>
    <w:rsid w:val="00DB58CB"/>
    <w:rsid w:val="00DB69B6"/>
    <w:rsid w:val="00DB7B65"/>
    <w:rsid w:val="00DC2DB5"/>
    <w:rsid w:val="00DC5A62"/>
    <w:rsid w:val="00DC69E4"/>
    <w:rsid w:val="00DD19A5"/>
    <w:rsid w:val="00DD3D7D"/>
    <w:rsid w:val="00DD517B"/>
    <w:rsid w:val="00DD5BEF"/>
    <w:rsid w:val="00DD5EBE"/>
    <w:rsid w:val="00DE0422"/>
    <w:rsid w:val="00DE0530"/>
    <w:rsid w:val="00DE05A3"/>
    <w:rsid w:val="00DE0DF8"/>
    <w:rsid w:val="00DE34B8"/>
    <w:rsid w:val="00DE43AF"/>
    <w:rsid w:val="00DE4C9C"/>
    <w:rsid w:val="00DF0E0A"/>
    <w:rsid w:val="00DF1864"/>
    <w:rsid w:val="00DF1A50"/>
    <w:rsid w:val="00DF4C16"/>
    <w:rsid w:val="00DF66B4"/>
    <w:rsid w:val="00DF7206"/>
    <w:rsid w:val="00E024B3"/>
    <w:rsid w:val="00E0443C"/>
    <w:rsid w:val="00E05936"/>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0FB5"/>
    <w:rsid w:val="00E6122D"/>
    <w:rsid w:val="00E635BE"/>
    <w:rsid w:val="00E6378F"/>
    <w:rsid w:val="00E64996"/>
    <w:rsid w:val="00E653AB"/>
    <w:rsid w:val="00E67216"/>
    <w:rsid w:val="00E67469"/>
    <w:rsid w:val="00E70704"/>
    <w:rsid w:val="00E718F3"/>
    <w:rsid w:val="00E72D46"/>
    <w:rsid w:val="00E75662"/>
    <w:rsid w:val="00E76B34"/>
    <w:rsid w:val="00E7720F"/>
    <w:rsid w:val="00E773C3"/>
    <w:rsid w:val="00E81D50"/>
    <w:rsid w:val="00E834CC"/>
    <w:rsid w:val="00E84609"/>
    <w:rsid w:val="00E84742"/>
    <w:rsid w:val="00E8643F"/>
    <w:rsid w:val="00E90435"/>
    <w:rsid w:val="00E9122D"/>
    <w:rsid w:val="00E9287C"/>
    <w:rsid w:val="00E92B24"/>
    <w:rsid w:val="00E92BE7"/>
    <w:rsid w:val="00E9438F"/>
    <w:rsid w:val="00E96C3A"/>
    <w:rsid w:val="00E97C0B"/>
    <w:rsid w:val="00E97E09"/>
    <w:rsid w:val="00EA1CF8"/>
    <w:rsid w:val="00EA243C"/>
    <w:rsid w:val="00EA2742"/>
    <w:rsid w:val="00EA29CF"/>
    <w:rsid w:val="00EA5CEA"/>
    <w:rsid w:val="00EA675A"/>
    <w:rsid w:val="00EB79E0"/>
    <w:rsid w:val="00EC00A4"/>
    <w:rsid w:val="00EC16D7"/>
    <w:rsid w:val="00EC2B8B"/>
    <w:rsid w:val="00EC2D9A"/>
    <w:rsid w:val="00EC3225"/>
    <w:rsid w:val="00EC33C3"/>
    <w:rsid w:val="00EC35AD"/>
    <w:rsid w:val="00EC3D41"/>
    <w:rsid w:val="00EC48F5"/>
    <w:rsid w:val="00EC551F"/>
    <w:rsid w:val="00EC5EFB"/>
    <w:rsid w:val="00EC5F49"/>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03E"/>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6BA9"/>
    <w:rsid w:val="00EF7852"/>
    <w:rsid w:val="00F00154"/>
    <w:rsid w:val="00F010BE"/>
    <w:rsid w:val="00F016F6"/>
    <w:rsid w:val="00F0438C"/>
    <w:rsid w:val="00F051E3"/>
    <w:rsid w:val="00F05E8E"/>
    <w:rsid w:val="00F11B1B"/>
    <w:rsid w:val="00F121C4"/>
    <w:rsid w:val="00F1262F"/>
    <w:rsid w:val="00F13CD9"/>
    <w:rsid w:val="00F15134"/>
    <w:rsid w:val="00F17245"/>
    <w:rsid w:val="00F20AE0"/>
    <w:rsid w:val="00F20E84"/>
    <w:rsid w:val="00F21D33"/>
    <w:rsid w:val="00F22A55"/>
    <w:rsid w:val="00F23101"/>
    <w:rsid w:val="00F24C48"/>
    <w:rsid w:val="00F26226"/>
    <w:rsid w:val="00F26537"/>
    <w:rsid w:val="00F27FB2"/>
    <w:rsid w:val="00F30799"/>
    <w:rsid w:val="00F32897"/>
    <w:rsid w:val="00F32D25"/>
    <w:rsid w:val="00F341A9"/>
    <w:rsid w:val="00F36B44"/>
    <w:rsid w:val="00F44932"/>
    <w:rsid w:val="00F4630A"/>
    <w:rsid w:val="00F46CA7"/>
    <w:rsid w:val="00F47D50"/>
    <w:rsid w:val="00F51871"/>
    <w:rsid w:val="00F52CC4"/>
    <w:rsid w:val="00F53B51"/>
    <w:rsid w:val="00F54212"/>
    <w:rsid w:val="00F56DB0"/>
    <w:rsid w:val="00F60282"/>
    <w:rsid w:val="00F6345B"/>
    <w:rsid w:val="00F654FA"/>
    <w:rsid w:val="00F66E71"/>
    <w:rsid w:val="00F67769"/>
    <w:rsid w:val="00F67AF9"/>
    <w:rsid w:val="00F7023B"/>
    <w:rsid w:val="00F7348A"/>
    <w:rsid w:val="00F73653"/>
    <w:rsid w:val="00F74B4B"/>
    <w:rsid w:val="00F74D05"/>
    <w:rsid w:val="00F758DF"/>
    <w:rsid w:val="00F76DF5"/>
    <w:rsid w:val="00F7733F"/>
    <w:rsid w:val="00F81A1F"/>
    <w:rsid w:val="00F82061"/>
    <w:rsid w:val="00F823A8"/>
    <w:rsid w:val="00F82C7D"/>
    <w:rsid w:val="00F849A3"/>
    <w:rsid w:val="00F85A25"/>
    <w:rsid w:val="00F85BAC"/>
    <w:rsid w:val="00F87669"/>
    <w:rsid w:val="00F87913"/>
    <w:rsid w:val="00F90088"/>
    <w:rsid w:val="00F90111"/>
    <w:rsid w:val="00F92D15"/>
    <w:rsid w:val="00F92DC1"/>
    <w:rsid w:val="00F93083"/>
    <w:rsid w:val="00F93C6E"/>
    <w:rsid w:val="00F95BF4"/>
    <w:rsid w:val="00F97404"/>
    <w:rsid w:val="00F97F17"/>
    <w:rsid w:val="00FA043E"/>
    <w:rsid w:val="00FA10F8"/>
    <w:rsid w:val="00FA1E25"/>
    <w:rsid w:val="00FA1F6D"/>
    <w:rsid w:val="00FA3857"/>
    <w:rsid w:val="00FA38CB"/>
    <w:rsid w:val="00FA3B5D"/>
    <w:rsid w:val="00FA45C2"/>
    <w:rsid w:val="00FA4EE6"/>
    <w:rsid w:val="00FA7966"/>
    <w:rsid w:val="00FB0D34"/>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44B7"/>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25F2"/>
    <w:rsid w:val="00FE5C93"/>
    <w:rsid w:val="00FE5EF8"/>
    <w:rsid w:val="00FF0D24"/>
    <w:rsid w:val="00FF3FD0"/>
    <w:rsid w:val="00FF4347"/>
    <w:rsid w:val="00FF43E0"/>
    <w:rsid w:val="00FF464C"/>
    <w:rsid w:val="00FF4C39"/>
    <w:rsid w:val="02E170E2"/>
    <w:rsid w:val="08E45CBC"/>
    <w:rsid w:val="093A34C7"/>
    <w:rsid w:val="0A9C626E"/>
    <w:rsid w:val="0F1318E6"/>
    <w:rsid w:val="113F4433"/>
    <w:rsid w:val="12E023DC"/>
    <w:rsid w:val="15903037"/>
    <w:rsid w:val="173824B9"/>
    <w:rsid w:val="17D85641"/>
    <w:rsid w:val="191928D5"/>
    <w:rsid w:val="1FDF4187"/>
    <w:rsid w:val="20B83018"/>
    <w:rsid w:val="236653F4"/>
    <w:rsid w:val="2C7C6A27"/>
    <w:rsid w:val="2EAC0BD1"/>
    <w:rsid w:val="329C11CE"/>
    <w:rsid w:val="329C2BE7"/>
    <w:rsid w:val="33231926"/>
    <w:rsid w:val="358203D6"/>
    <w:rsid w:val="358478F7"/>
    <w:rsid w:val="37541558"/>
    <w:rsid w:val="37CE1421"/>
    <w:rsid w:val="38470D26"/>
    <w:rsid w:val="3ADC2FAD"/>
    <w:rsid w:val="3F4B4E44"/>
    <w:rsid w:val="40133EE2"/>
    <w:rsid w:val="404A33DA"/>
    <w:rsid w:val="47217A6D"/>
    <w:rsid w:val="4AC4799F"/>
    <w:rsid w:val="50AC3CAD"/>
    <w:rsid w:val="519D110B"/>
    <w:rsid w:val="56E50DAA"/>
    <w:rsid w:val="574D2BFB"/>
    <w:rsid w:val="5BF7FC9C"/>
    <w:rsid w:val="5CB344B5"/>
    <w:rsid w:val="60F97508"/>
    <w:rsid w:val="61280E89"/>
    <w:rsid w:val="65676234"/>
    <w:rsid w:val="6B923129"/>
    <w:rsid w:val="704A20F5"/>
    <w:rsid w:val="71AD3BA4"/>
    <w:rsid w:val="762468F4"/>
    <w:rsid w:val="7D7144B7"/>
    <w:rsid w:val="7FEF2769"/>
    <w:rsid w:val="BB36A4F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宋体"/>
      <w:sz w:val="30"/>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5323</Words>
  <Characters>30342</Characters>
  <Lines>252</Lines>
  <Paragraphs>71</Paragraphs>
  <TotalTime>58</TotalTime>
  <ScaleCrop>false</ScaleCrop>
  <LinksUpToDate>false</LinksUpToDate>
  <CharactersWithSpaces>35594</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2021-08-05T17:23:00Z</dcterms:created>
  <dc:creator>HP</dc:creator>
  <cp:lastModifiedBy> </cp:lastModifiedBy>
  <cp:lastPrinted>2021-08-17T02:15:00Z</cp:lastPrinted>
  <dcterms:modified xsi:type="dcterms:W3CDTF">2023-09-04T10:57:22Z</dcterms:modified>
  <dc:title>重庆市永川区人民政府办公室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