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76" w:lineRule="auto"/>
        <w:jc w:val="left"/>
        <w:rPr>
          <w:rFonts w:hint="eastAsia" w:ascii="方正仿宋_GBK" w:hAnsi="方正仿宋_GBK" w:eastAsia="方正仿宋_GBK" w:cs="方正仿宋_GBK"/>
          <w:sz w:val="32"/>
          <w:szCs w:val="32"/>
        </w:rPr>
      </w:pPr>
      <w:bookmarkStart w:id="0" w:name="OLE_LINK2"/>
      <w:r>
        <w:rPr>
          <w:rFonts w:hint="eastAsia" w:ascii="方正仿宋_GBK" w:hAnsi="方正仿宋_GBK" w:eastAsia="方正仿宋_GBK" w:cs="方正仿宋_GBK"/>
          <w:sz w:val="32"/>
          <w:szCs w:val="32"/>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margin">
                  <wp:posOffset>3060700</wp:posOffset>
                </wp:positionV>
                <wp:extent cx="5615940" cy="0"/>
                <wp:effectExtent l="0" t="10795" r="3810" b="17780"/>
                <wp:wrapNone/>
                <wp:docPr id="1" name="直线 2"/>
                <wp:cNvGraphicFramePr/>
                <a:graphic xmlns:a="http://schemas.openxmlformats.org/drawingml/2006/main">
                  <a:graphicData uri="http://schemas.microsoft.com/office/word/2010/wordprocessingShape">
                    <wps:wsp>
                      <wps:cNvCnPr/>
                      <wps:spPr>
                        <a:xfrm>
                          <a:off x="0" y="0"/>
                          <a:ext cx="5615940" cy="0"/>
                        </a:xfrm>
                        <a:prstGeom prst="line">
                          <a:avLst/>
                        </a:prstGeom>
                        <a:ln w="22225" cap="flat" cmpd="sng">
                          <a:solidFill>
                            <a:srgbClr val="FF0000"/>
                          </a:solidFill>
                          <a:prstDash val="solid"/>
                          <a:headEnd type="none" w="med" len="med"/>
                          <a:tailEnd type="none" w="med" len="med"/>
                        </a:ln>
                      </wps:spPr>
                      <wps:bodyPr upright="true"/>
                    </wps:wsp>
                  </a:graphicData>
                </a:graphic>
              </wp:anchor>
            </w:drawing>
          </mc:Choice>
          <mc:Fallback>
            <w:pict>
              <v:line id="直线 2" o:spid="_x0000_s1026" o:spt="20" style="position:absolute;left:0pt;margin-top:241pt;height:0pt;width:442.2pt;mso-position-horizontal:center;mso-position-horizontal-relative:page;mso-position-vertical-relative:margin;z-index:251659264;mso-width-relative:page;mso-height-relative:page;" filled="f" stroked="t" coordsize="21600,21600" o:gfxdata="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IL257XWAAAA&#10;CAEAAA8AAAAAAAAAAQAgAAAAOAAAAGRycy9kb3ducmV2LnhtbFBLAQIUABQAAAAIAIdO4kD6p0hj&#10;0AEAAJEDAAAOAAAAAAAAAAEAIAAAADsBAABkcnMvZTJvRG9jLnhtbFBLBQYAAAAABgAGAFkBAAB9&#10;BQAAAAA=&#10;">
                <v:fill on="f" focussize="0,0"/>
                <v:stroke weight="1.75pt" color="#FF0000" joinstyle="round"/>
                <v:imagedata o:title=""/>
                <o:lock v:ext="edit" aspectratio="f"/>
              </v:line>
            </w:pict>
          </mc:Fallback>
        </mc:AlternateContent>
      </w:r>
      <w:r>
        <w:rPr>
          <w:rFonts w:hint="eastAsia" w:ascii="方正仿宋_GBK" w:hAnsi="方正仿宋_GBK" w:eastAsia="方正仿宋_GBK" w:cs="方正仿宋_GBK"/>
          <w:sz w:val="32"/>
          <w:szCs w:val="32"/>
        </w:rPr>
        <w:pict>
          <v:shape id="_x0000_s1027" o:spid="_x0000_s1027" o:spt="136" type="#_x0000_t136" style="position:absolute;left:0pt;margin-top:99.25pt;height:53.85pt;width:411pt;mso-position-horizontal:center;mso-position-horizontal-relative:page;mso-position-vertical-relative:margin;z-index:251658240;mso-width-relative:page;mso-height-relative:page;" fillcolor="#FF0000" filled="t" stroked="f" coordsize="21600,21600">
            <v:path/>
            <v:fill on="t" focussize="0,0"/>
            <v:stroke on="f" color="#FF0000"/>
            <v:imagedata o:title=""/>
            <o:lock v:ext="edit"/>
            <v:textpath on="t" fitshape="t" fitpath="t" trim="t" xscale="f" string="重庆市永川区人民政府办公室文件" style="font-family:方正小标宋_GBK;font-size:36pt;font-weight:bold;v-rotate-letters:f;v-same-letter-heights:f;v-text-align:center;"/>
          </v:shape>
        </w:pict>
      </w:r>
    </w:p>
    <w:p>
      <w:pPr>
        <w:snapToGrid w:val="0"/>
        <w:spacing w:line="276" w:lineRule="auto"/>
        <w:jc w:val="left"/>
        <w:rPr>
          <w:rFonts w:hint="eastAsia" w:ascii="方正仿宋_GBK" w:hAnsi="方正仿宋_GBK" w:eastAsia="方正仿宋_GBK" w:cs="方正仿宋_GBK"/>
          <w:sz w:val="32"/>
          <w:szCs w:val="32"/>
        </w:rPr>
      </w:pPr>
    </w:p>
    <w:p>
      <w:pPr>
        <w:snapToGrid w:val="0"/>
        <w:spacing w:line="276" w:lineRule="auto"/>
        <w:jc w:val="left"/>
        <w:rPr>
          <w:rFonts w:hint="eastAsia" w:ascii="方正仿宋_GBK" w:hAnsi="方正仿宋_GBK" w:eastAsia="方正仿宋_GBK" w:cs="方正仿宋_GBK"/>
          <w:sz w:val="32"/>
          <w:szCs w:val="32"/>
        </w:rPr>
      </w:pPr>
    </w:p>
    <w:p>
      <w:pPr>
        <w:snapToGrid w:val="0"/>
        <w:spacing w:line="276" w:lineRule="auto"/>
        <w:jc w:val="left"/>
        <w:rPr>
          <w:rFonts w:hint="eastAsia" w:ascii="方正仿宋_GBK" w:hAnsi="方正仿宋_GBK" w:eastAsia="方正仿宋_GBK" w:cs="方正仿宋_GBK"/>
          <w:sz w:val="32"/>
          <w:szCs w:val="32"/>
        </w:rPr>
      </w:pPr>
    </w:p>
    <w:p>
      <w:pPr>
        <w:snapToGrid w:val="0"/>
        <w:spacing w:line="276" w:lineRule="auto"/>
        <w:jc w:val="left"/>
        <w:rPr>
          <w:rFonts w:hint="eastAsia" w:ascii="方正仿宋_GBK" w:hAnsi="方正仿宋_GBK" w:eastAsia="方正仿宋_GBK" w:cs="方正仿宋_GBK"/>
          <w:sz w:val="32"/>
          <w:szCs w:val="32"/>
        </w:rPr>
      </w:pPr>
    </w:p>
    <w:p>
      <w:pPr>
        <w:snapToGrid w:val="0"/>
        <w:spacing w:line="276" w:lineRule="auto"/>
        <w:jc w:val="left"/>
        <w:rPr>
          <w:rFonts w:hint="eastAsia" w:ascii="方正仿宋_GBK" w:hAnsi="方正仿宋_GBK" w:eastAsia="方正仿宋_GBK" w:cs="方正仿宋_GBK"/>
          <w:sz w:val="32"/>
          <w:szCs w:val="32"/>
        </w:rPr>
      </w:pPr>
    </w:p>
    <w:p>
      <w:pPr>
        <w:snapToGrid w:val="0"/>
        <w:spacing w:line="276" w:lineRule="auto"/>
        <w:jc w:val="left"/>
        <w:rPr>
          <w:rFonts w:hint="eastAsia" w:ascii="方正仿宋_GBK" w:hAnsi="方正仿宋_GBK" w:eastAsia="方正仿宋_GBK" w:cs="方正仿宋_GBK"/>
          <w:sz w:val="32"/>
          <w:szCs w:val="32"/>
        </w:rPr>
      </w:pPr>
    </w:p>
    <w:p>
      <w:pPr>
        <w:snapToGrid w:val="0"/>
        <w:spacing w:line="276" w:lineRule="auto"/>
        <w:jc w:val="left"/>
        <w:rPr>
          <w:rFonts w:hint="eastAsia" w:ascii="方正仿宋_GBK" w:hAnsi="方正仿宋_GBK" w:eastAsia="方正仿宋_GBK" w:cs="方正仿宋_GBK"/>
          <w:sz w:val="32"/>
          <w:szCs w:val="32"/>
        </w:rPr>
      </w:pPr>
    </w:p>
    <w:p>
      <w:pPr>
        <w:snapToGrid w:val="0"/>
        <w:spacing w:line="276" w:lineRule="auto"/>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永川府办发〔2022〕41号</w:t>
      </w: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600" w:lineRule="exact"/>
        <w:jc w:val="center"/>
        <w:rPr>
          <w:rFonts w:hint="eastAsia" w:eastAsia="方正小标宋_GBK"/>
          <w:sz w:val="44"/>
          <w:szCs w:val="44"/>
        </w:rPr>
      </w:pPr>
      <w:r>
        <w:rPr>
          <w:rFonts w:hint="eastAsia" w:eastAsia="方正小标宋_GBK"/>
          <w:sz w:val="44"/>
          <w:szCs w:val="44"/>
        </w:rPr>
        <w:t>重庆市永川区人民政府办公室关于</w:t>
      </w:r>
    </w:p>
    <w:p>
      <w:pPr>
        <w:adjustRightInd w:val="0"/>
        <w:snapToGrid w:val="0"/>
        <w:spacing w:line="600" w:lineRule="exact"/>
        <w:jc w:val="center"/>
        <w:rPr>
          <w:rFonts w:eastAsia="方正小标宋_GBK"/>
          <w:sz w:val="44"/>
          <w:szCs w:val="44"/>
        </w:rPr>
      </w:pPr>
      <w:r>
        <w:rPr>
          <w:rFonts w:hint="eastAsia" w:eastAsia="方正小标宋_GBK"/>
          <w:sz w:val="44"/>
          <w:szCs w:val="44"/>
        </w:rPr>
        <w:t>印发永川区</w:t>
      </w:r>
      <w:r>
        <w:rPr>
          <w:rFonts w:hint="eastAsia" w:eastAsia="方正小标宋_GBK"/>
          <w:sz w:val="44"/>
          <w:szCs w:val="44"/>
          <w:lang w:eastAsia="zh-CN"/>
        </w:rPr>
        <w:t>“十四五”节约用水规划的</w:t>
      </w:r>
      <w:r>
        <w:rPr>
          <w:rFonts w:hint="eastAsia" w:eastAsia="方正小标宋_GBK"/>
          <w:sz w:val="44"/>
          <w:szCs w:val="44"/>
        </w:rPr>
        <w:t>通知</w:t>
      </w:r>
    </w:p>
    <w:bookmarkEnd w:id="0"/>
    <w:p>
      <w:pPr>
        <w:adjustRightInd w:val="0"/>
        <w:snapToGrid w:val="0"/>
        <w:spacing w:line="276" w:lineRule="auto"/>
        <w:jc w:val="left"/>
        <w:rPr>
          <w:rFonts w:hint="eastAsia" w:ascii="方正仿宋_GBK" w:hAnsi="方正仿宋_GBK" w:eastAsia="方正仿宋_GBK" w:cs="方正仿宋_GBK"/>
          <w:sz w:val="32"/>
          <w:szCs w:val="32"/>
        </w:rPr>
      </w:pPr>
    </w:p>
    <w:p>
      <w:pPr>
        <w:snapToGrid w:val="0"/>
        <w:spacing w:line="276" w:lineRule="auto"/>
        <w:rPr>
          <w:rFonts w:ascii="方正仿宋_GBK" w:eastAsia="方正仿宋_GBK"/>
          <w:color w:val="333333"/>
          <w:sz w:val="32"/>
          <w:szCs w:val="32"/>
          <w:shd w:val="clear" w:color="auto" w:fill="FFFFFF"/>
        </w:rPr>
      </w:pPr>
      <w:bookmarkStart w:id="1" w:name="OLE_LINK3"/>
      <w:r>
        <w:rPr>
          <w:rFonts w:hint="eastAsia" w:ascii="方正仿宋_GBK" w:eastAsia="方正仿宋_GBK"/>
          <w:color w:val="333333"/>
          <w:sz w:val="32"/>
          <w:szCs w:val="32"/>
          <w:shd w:val="clear" w:color="auto" w:fill="FFFFFF"/>
          <w:lang w:eastAsia="zh-CN"/>
        </w:rPr>
        <w:t>各</w:t>
      </w:r>
      <w:r>
        <w:rPr>
          <w:rFonts w:hint="eastAsia" w:ascii="方正仿宋_GBK" w:eastAsia="方正仿宋_GBK"/>
          <w:color w:val="333333"/>
          <w:sz w:val="32"/>
          <w:szCs w:val="32"/>
          <w:shd w:val="clear" w:color="auto" w:fill="FFFFFF"/>
        </w:rPr>
        <w:t>镇人民政府、街道办事处，区政府有关部门，有关单位：</w:t>
      </w:r>
    </w:p>
    <w:p>
      <w:pPr>
        <w:overflowPunct w:val="0"/>
        <w:topLinePunct/>
        <w:adjustRightInd w:val="0"/>
        <w:snapToGrid w:val="0"/>
        <w:spacing w:line="276" w:lineRule="auto"/>
        <w:ind w:firstLine="640" w:firstLineChars="200"/>
        <w:jc w:val="both"/>
        <w:rPr>
          <w:rFonts w:ascii="方正仿宋_GBK" w:hAnsi="微软雅黑" w:eastAsia="方正仿宋_GBK"/>
          <w:color w:val="333333"/>
          <w:sz w:val="32"/>
          <w:szCs w:val="32"/>
        </w:rPr>
      </w:pPr>
      <w:r>
        <w:rPr>
          <w:rFonts w:hint="eastAsia" w:ascii="方正仿宋_GBK" w:hAnsi="微软雅黑" w:eastAsia="方正仿宋_GBK"/>
          <w:color w:val="333333"/>
          <w:sz w:val="32"/>
          <w:szCs w:val="32"/>
        </w:rPr>
        <w:t>《</w:t>
      </w:r>
      <w:r>
        <w:rPr>
          <w:rFonts w:hint="eastAsia" w:ascii="方正仿宋_GBK" w:hAnsi="微软雅黑" w:eastAsia="方正仿宋_GBK" w:cs="宋体"/>
          <w:color w:val="333333"/>
          <w:kern w:val="0"/>
          <w:sz w:val="32"/>
          <w:szCs w:val="32"/>
          <w:lang w:val="en-US" w:eastAsia="zh-CN" w:bidi="ar-SA"/>
        </w:rPr>
        <w:t>永川区“十四五”节约用水规划</w:t>
      </w:r>
      <w:r>
        <w:rPr>
          <w:rFonts w:hint="eastAsia" w:ascii="方正仿宋_GBK" w:hAnsi="微软雅黑" w:eastAsia="方正仿宋_GBK"/>
          <w:color w:val="333333"/>
          <w:sz w:val="32"/>
          <w:szCs w:val="32"/>
        </w:rPr>
        <w:t>》已经区政府</w:t>
      </w:r>
      <w:r>
        <w:rPr>
          <w:rFonts w:hint="eastAsia" w:ascii="方正仿宋_GBK" w:hAnsi="微软雅黑" w:eastAsia="方正仿宋_GBK"/>
          <w:color w:val="333333"/>
          <w:sz w:val="32"/>
          <w:szCs w:val="32"/>
          <w:lang w:eastAsia="zh-CN"/>
        </w:rPr>
        <w:t>同意</w:t>
      </w:r>
      <w:r>
        <w:rPr>
          <w:rFonts w:hint="eastAsia" w:ascii="方正仿宋_GBK" w:hAnsi="微软雅黑" w:eastAsia="方正仿宋_GBK"/>
          <w:color w:val="333333"/>
          <w:sz w:val="32"/>
          <w:szCs w:val="32"/>
        </w:rPr>
        <w:t>，现印发给你们，请认真贯彻执行。</w:t>
      </w:r>
    </w:p>
    <w:bookmarkEnd w:id="1"/>
    <w:p>
      <w:pPr>
        <w:shd w:val="clear" w:color="auto" w:fill="FFFFFF"/>
        <w:overflowPunct w:val="0"/>
        <w:topLinePunct/>
        <w:adjustRightInd w:val="0"/>
        <w:snapToGrid w:val="0"/>
        <w:spacing w:before="0" w:beforeAutospacing="0" w:after="0" w:afterAutospacing="0" w:line="276" w:lineRule="auto"/>
        <w:ind w:firstLine="640" w:firstLineChars="200"/>
        <w:jc w:val="both"/>
        <w:rPr>
          <w:rFonts w:hint="eastAsia" w:ascii="方正仿宋_GBK" w:hAnsi="微软雅黑" w:eastAsia="方正仿宋_GBK" w:cs="Times New Roman"/>
          <w:color w:val="333333"/>
          <w:sz w:val="32"/>
          <w:szCs w:val="32"/>
        </w:rPr>
      </w:pPr>
    </w:p>
    <w:p>
      <w:pPr>
        <w:shd w:val="clear" w:color="auto" w:fill="FFFFFF"/>
        <w:overflowPunct w:val="0"/>
        <w:topLinePunct/>
        <w:adjustRightInd w:val="0"/>
        <w:snapToGrid w:val="0"/>
        <w:spacing w:before="0" w:beforeAutospacing="0" w:after="0" w:afterAutospacing="0" w:line="276" w:lineRule="auto"/>
        <w:ind w:firstLine="640" w:firstLineChars="200"/>
        <w:jc w:val="both"/>
        <w:rPr>
          <w:rFonts w:hint="eastAsia" w:ascii="方正仿宋_GBK" w:hAnsi="微软雅黑" w:eastAsia="方正仿宋_GBK" w:cs="Times New Roman"/>
          <w:color w:val="333333"/>
          <w:sz w:val="32"/>
          <w:szCs w:val="32"/>
        </w:rPr>
      </w:pPr>
    </w:p>
    <w:p>
      <w:pPr>
        <w:pStyle w:val="15"/>
        <w:widowControl w:val="0"/>
        <w:shd w:val="clear" w:color="auto" w:fill="auto"/>
        <w:snapToGrid w:val="0"/>
        <w:spacing w:before="0" w:beforeAutospacing="0" w:after="0" w:afterAutospacing="0" w:line="276" w:lineRule="auto"/>
        <w:ind w:firstLine="4160" w:firstLineChars="1300"/>
        <w:rPr>
          <w:rFonts w:hint="eastAsia" w:ascii="方正仿宋_GBK" w:hAnsi="方正仿宋_GBK" w:eastAsia="方正仿宋_GBK" w:cs="方正仿宋_GBK"/>
          <w:color w:val="333333"/>
          <w:sz w:val="32"/>
          <w:szCs w:val="32"/>
        </w:rPr>
      </w:pPr>
      <w:r>
        <w:rPr>
          <w:rFonts w:hint="eastAsia" w:ascii="方正仿宋_GBK" w:hAnsi="方正仿宋_GBK" w:eastAsia="方正仿宋_GBK" w:cs="方正仿宋_GBK"/>
          <w:color w:val="333333"/>
          <w:sz w:val="32"/>
          <w:szCs w:val="32"/>
        </w:rPr>
        <w:t>重庆市永川区人民政府办公室</w:t>
      </w:r>
    </w:p>
    <w:p>
      <w:pPr>
        <w:pStyle w:val="15"/>
        <w:widowControl w:val="0"/>
        <w:shd w:val="clear" w:color="auto" w:fill="auto"/>
        <w:snapToGrid w:val="0"/>
        <w:spacing w:before="0" w:beforeAutospacing="0" w:after="0" w:afterAutospacing="0" w:line="276" w:lineRule="auto"/>
        <w:ind w:firstLine="528"/>
        <w:jc w:val="center"/>
        <w:rPr>
          <w:rFonts w:hint="eastAsia" w:ascii="方正仿宋_GBK" w:hAnsi="方正仿宋_GBK" w:eastAsia="方正仿宋_GBK" w:cs="方正仿宋_GBK"/>
          <w:color w:val="333333"/>
          <w:sz w:val="32"/>
          <w:szCs w:val="32"/>
        </w:rPr>
      </w:pPr>
      <w:r>
        <w:rPr>
          <w:rFonts w:hint="eastAsia" w:ascii="方正仿宋_GBK" w:hAnsi="方正仿宋_GBK" w:eastAsia="方正仿宋_GBK" w:cs="方正仿宋_GBK"/>
          <w:color w:val="333333"/>
          <w:sz w:val="32"/>
          <w:szCs w:val="32"/>
        </w:rPr>
        <w:t xml:space="preserve">              </w:t>
      </w:r>
      <w:r>
        <w:rPr>
          <w:rFonts w:hint="eastAsia" w:ascii="方正仿宋_GBK" w:hAnsi="方正仿宋_GBK" w:eastAsia="方正仿宋_GBK" w:cs="方正仿宋_GBK"/>
          <w:color w:val="333333"/>
          <w:sz w:val="32"/>
          <w:szCs w:val="32"/>
          <w:lang w:val="en-US" w:eastAsia="zh-CN"/>
        </w:rPr>
        <w:t xml:space="preserve">    </w:t>
      </w:r>
      <w:r>
        <w:rPr>
          <w:rFonts w:hint="eastAsia" w:ascii="方正仿宋_GBK" w:hAnsi="方正仿宋_GBK" w:eastAsia="方正仿宋_GBK" w:cs="方正仿宋_GBK"/>
          <w:color w:val="333333"/>
          <w:sz w:val="32"/>
          <w:szCs w:val="32"/>
        </w:rPr>
        <w:t>202</w:t>
      </w:r>
      <w:r>
        <w:rPr>
          <w:rFonts w:hint="eastAsia" w:ascii="方正仿宋_GBK" w:hAnsi="方正仿宋_GBK" w:eastAsia="方正仿宋_GBK" w:cs="方正仿宋_GBK"/>
          <w:color w:val="333333"/>
          <w:sz w:val="32"/>
          <w:szCs w:val="32"/>
          <w:lang w:val="en-US" w:eastAsia="zh-CN"/>
        </w:rPr>
        <w:t>2</w:t>
      </w:r>
      <w:r>
        <w:rPr>
          <w:rFonts w:hint="eastAsia" w:ascii="方正仿宋_GBK" w:hAnsi="方正仿宋_GBK" w:eastAsia="方正仿宋_GBK" w:cs="方正仿宋_GBK"/>
          <w:color w:val="333333"/>
          <w:sz w:val="32"/>
          <w:szCs w:val="32"/>
        </w:rPr>
        <w:t>年</w:t>
      </w:r>
      <w:r>
        <w:rPr>
          <w:rFonts w:hint="eastAsia" w:ascii="方正仿宋_GBK" w:hAnsi="方正仿宋_GBK" w:eastAsia="方正仿宋_GBK" w:cs="方正仿宋_GBK"/>
          <w:color w:val="333333"/>
          <w:sz w:val="32"/>
          <w:szCs w:val="32"/>
          <w:lang w:val="en-US" w:eastAsia="zh-CN"/>
        </w:rPr>
        <w:t>4</w:t>
      </w:r>
      <w:r>
        <w:rPr>
          <w:rFonts w:hint="eastAsia" w:ascii="方正仿宋_GBK" w:hAnsi="方正仿宋_GBK" w:eastAsia="方正仿宋_GBK" w:cs="方正仿宋_GBK"/>
          <w:color w:val="333333"/>
          <w:sz w:val="32"/>
          <w:szCs w:val="32"/>
        </w:rPr>
        <w:t>月</w:t>
      </w:r>
      <w:r>
        <w:rPr>
          <w:rFonts w:hint="default" w:ascii="方正仿宋_GBK" w:hAnsi="方正仿宋_GBK" w:eastAsia="方正仿宋_GBK" w:cs="方正仿宋_GBK"/>
          <w:color w:val="333333"/>
          <w:sz w:val="32"/>
          <w:szCs w:val="32"/>
          <w:lang w:val="en"/>
        </w:rPr>
        <w:t>18</w:t>
      </w:r>
      <w:r>
        <w:rPr>
          <w:rFonts w:hint="eastAsia" w:ascii="方正仿宋_GBK" w:hAnsi="方正仿宋_GBK" w:eastAsia="方正仿宋_GBK" w:cs="方正仿宋_GBK"/>
          <w:color w:val="333333"/>
          <w:sz w:val="32"/>
          <w:szCs w:val="32"/>
        </w:rPr>
        <w:t>日</w:t>
      </w:r>
    </w:p>
    <w:p>
      <w:pPr>
        <w:pStyle w:val="15"/>
        <w:widowControl w:val="0"/>
        <w:shd w:val="clear" w:color="auto" w:fill="auto"/>
        <w:snapToGrid w:val="0"/>
        <w:spacing w:before="0" w:beforeAutospacing="0" w:after="0" w:afterAutospacing="0" w:line="276" w:lineRule="auto"/>
        <w:ind w:firstLine="528"/>
        <w:rPr>
          <w:rFonts w:hint="eastAsia" w:ascii="方正仿宋_GBK" w:hAnsi="方正仿宋_GBK" w:eastAsia="方正仿宋_GBK" w:cs="方正仿宋_GBK"/>
          <w:color w:val="333333"/>
          <w:sz w:val="32"/>
          <w:szCs w:val="32"/>
        </w:rPr>
      </w:pPr>
      <w:r>
        <w:rPr>
          <w:rFonts w:hint="eastAsia" w:ascii="方正仿宋_GBK" w:hAnsi="方正仿宋_GBK" w:eastAsia="方正仿宋_GBK" w:cs="方正仿宋_GBK"/>
          <w:color w:val="333333"/>
          <w:sz w:val="32"/>
          <w:szCs w:val="32"/>
        </w:rPr>
        <w:t>（此件公开发布）</w:t>
      </w:r>
    </w:p>
    <w:p>
      <w:pPr>
        <w:snapToGrid w:val="0"/>
        <w:spacing w:line="276" w:lineRule="auto"/>
        <w:jc w:val="center"/>
        <w:rPr>
          <w:rFonts w:hint="default" w:ascii="Times New Roman" w:hAnsi="Times New Roman" w:eastAsia="方正仿宋_GBK" w:cs="Times New Roman"/>
          <w:b/>
          <w:sz w:val="32"/>
          <w:szCs w:val="32"/>
        </w:rPr>
        <w:sectPr>
          <w:headerReference r:id="rId3" w:type="default"/>
          <w:footerReference r:id="rId4" w:type="default"/>
          <w:pgSz w:w="11906" w:h="16838"/>
          <w:pgMar w:top="2098" w:right="1474" w:bottom="1984" w:left="1587" w:header="851" w:footer="1474" w:gutter="0"/>
          <w:pgNumType w:fmt="numberInDash"/>
          <w:cols w:space="720" w:num="1"/>
          <w:rtlGutter w:val="0"/>
          <w:docGrid w:type="lines" w:linePitch="312" w:charSpace="0"/>
        </w:sectPr>
      </w:pPr>
    </w:p>
    <w:p>
      <w:pPr>
        <w:snapToGrid w:val="0"/>
        <w:jc w:val="center"/>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z w:val="44"/>
          <w:szCs w:val="44"/>
        </w:rPr>
        <w:t>永川区</w:t>
      </w:r>
      <w:r>
        <w:rPr>
          <w:rFonts w:hint="eastAsia" w:ascii="方正小标宋_GBK" w:hAnsi="方正小标宋_GBK" w:eastAsia="方正小标宋_GBK" w:cs="方正小标宋_GBK"/>
          <w:b w:val="0"/>
          <w:bCs/>
          <w:sz w:val="44"/>
          <w:szCs w:val="44"/>
          <w:lang w:eastAsia="zh-CN"/>
        </w:rPr>
        <w:t>“十四五”节约用水规划</w:t>
      </w:r>
    </w:p>
    <w:p>
      <w:pPr>
        <w:snapToGrid w:val="0"/>
        <w:jc w:val="center"/>
        <w:rPr>
          <w:rFonts w:hint="eastAsia" w:ascii="方正仿宋_GBK" w:hAnsi="方正仿宋_GBK" w:eastAsia="方正仿宋_GBK" w:cs="方正仿宋_GBK"/>
          <w:b w:val="0"/>
          <w:bCs/>
          <w:sz w:val="36"/>
          <w:szCs w:val="36"/>
        </w:rPr>
      </w:pPr>
    </w:p>
    <w:p>
      <w:pPr>
        <w:snapToGrid w:val="0"/>
        <w:jc w:val="center"/>
        <w:rPr>
          <w:rFonts w:hint="eastAsia" w:ascii="方正仿宋_GBK" w:hAnsi="方正仿宋_GBK" w:eastAsia="方正仿宋_GBK" w:cs="方正仿宋_GBK"/>
          <w:b w:val="0"/>
          <w:bCs/>
          <w:sz w:val="36"/>
          <w:szCs w:val="36"/>
        </w:rPr>
      </w:pPr>
      <w:r>
        <w:rPr>
          <w:rFonts w:hint="eastAsia" w:ascii="方正仿宋_GBK" w:hAnsi="方正仿宋_GBK" w:eastAsia="方正仿宋_GBK" w:cs="方正仿宋_GBK"/>
          <w:b w:val="0"/>
          <w:bCs/>
          <w:sz w:val="36"/>
          <w:szCs w:val="36"/>
        </w:rPr>
        <w:t>目 录</w:t>
      </w:r>
    </w:p>
    <w:p>
      <w:pPr>
        <w:snapToGrid w:val="0"/>
        <w:jc w:val="center"/>
        <w:rPr>
          <w:rFonts w:hint="eastAsia" w:ascii="方正仿宋_GBK" w:hAnsi="方正仿宋_GBK" w:eastAsia="方正仿宋_GBK" w:cs="方正仿宋_GBK"/>
          <w:b w:val="0"/>
          <w:bCs/>
          <w:sz w:val="36"/>
          <w:szCs w:val="36"/>
        </w:rPr>
      </w:pPr>
    </w:p>
    <w:p>
      <w:pPr>
        <w:pStyle w:val="13"/>
        <w:tabs>
          <w:tab w:val="right" w:leader="dot" w:pos="8845"/>
          <w:tab w:val="clear" w:pos="420"/>
          <w:tab w:val="clear" w:pos="9016"/>
        </w:tabs>
        <w:spacing w:line="276" w:lineRule="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val="0"/>
          <w:bCs/>
          <w:sz w:val="30"/>
          <w:szCs w:val="30"/>
        </w:rPr>
        <w:fldChar w:fldCharType="begin"/>
      </w:r>
      <w:r>
        <w:rPr>
          <w:rFonts w:hint="eastAsia" w:ascii="方正仿宋_GBK" w:hAnsi="方正仿宋_GBK" w:eastAsia="方正仿宋_GBK" w:cs="方正仿宋_GBK"/>
          <w:b w:val="0"/>
          <w:bCs/>
          <w:sz w:val="30"/>
          <w:szCs w:val="30"/>
        </w:rPr>
        <w:instrText xml:space="preserve"> TOC \o "1-2" \h \z \u </w:instrText>
      </w:r>
      <w:r>
        <w:rPr>
          <w:rFonts w:hint="eastAsia" w:ascii="方正仿宋_GBK" w:hAnsi="方正仿宋_GBK" w:eastAsia="方正仿宋_GBK" w:cs="方正仿宋_GBK"/>
          <w:b w:val="0"/>
          <w:bCs/>
          <w:sz w:val="30"/>
          <w:szCs w:val="30"/>
        </w:rPr>
        <w:fldChar w:fldCharType="separate"/>
      </w: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_Toc987039929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rPr>
        <w:t>前言</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_Toc987039929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- 5 -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3"/>
        <w:tabs>
          <w:tab w:val="right" w:leader="dot" w:pos="8845"/>
          <w:tab w:val="clear" w:pos="420"/>
          <w:tab w:val="clear" w:pos="9016"/>
        </w:tabs>
        <w:spacing w:line="276" w:lineRule="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_Toc1397005183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kern w:val="2"/>
          <w:sz w:val="30"/>
          <w:szCs w:val="30"/>
          <w:lang w:val="en-US" w:eastAsia="zh-CN" w:bidi="ar-SA"/>
        </w:rPr>
        <w:t>1区域概况</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_Toc1397005183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- 7 -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_Toc2133052089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rPr>
        <w:t>1.1自然地理概况</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_Toc2133052089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- 7 -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_Toc204170426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spacing w:val="6"/>
          <w:sz w:val="30"/>
          <w:szCs w:val="30"/>
        </w:rPr>
        <w:t>1.1.1地理位置</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_Toc204170426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- 7 -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_Toc1632293260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1.2社会经济概况</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_Toc1632293260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- 14 -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_Toc1224290387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1.3水资源及其开发利用现状</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_Toc1224290387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- 17 -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_Toc307109346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1.4现状用水水平及节水潜力分析</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_Toc307109346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- 25 -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3"/>
        <w:tabs>
          <w:tab w:val="right" w:leader="dot" w:pos="8845"/>
          <w:tab w:val="clear" w:pos="420"/>
          <w:tab w:val="clear" w:pos="9016"/>
        </w:tabs>
        <w:spacing w:line="276" w:lineRule="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_Toc682410267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kern w:val="2"/>
          <w:sz w:val="30"/>
          <w:szCs w:val="30"/>
          <w:lang w:val="en-US" w:eastAsia="zh-CN" w:bidi="ar-SA"/>
        </w:rPr>
        <w:t>2节水工作主要成效及存在的问题</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_Toc682410267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- 31 -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_Toc1455948581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2.1“十三五”节水工作成效</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_Toc1455948581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- 32 -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_Toc1442075938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2.2存在的主要问题</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_Toc1442075938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- 34 -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_Toc539517840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2.3面临的形势</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_Toc539517840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- 36 -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3"/>
        <w:tabs>
          <w:tab w:val="right" w:leader="dot" w:pos="8845"/>
          <w:tab w:val="clear" w:pos="420"/>
          <w:tab w:val="clear" w:pos="9016"/>
        </w:tabs>
        <w:spacing w:line="276" w:lineRule="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_Toc982723769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kern w:val="2"/>
          <w:sz w:val="30"/>
          <w:szCs w:val="30"/>
          <w:lang w:val="en-US" w:eastAsia="zh-CN" w:bidi="ar-SA"/>
        </w:rPr>
        <w:t>3规划目标和主要任务</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_Toc982723769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- 38 -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_Toc885983897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3.1指导思想</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_Toc885983897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- 38 -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_Toc1018420742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3.2基本原则</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_Toc1018420742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- 38 -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_Toc317434441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3.3规划范围及水平年</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_Toc317434441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- 43 -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_Toc1064147287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3.4规划目标</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_Toc1064147287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- 43 -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_Toc68068357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3.5主要任务</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_Toc68068357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- 47 -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3"/>
        <w:tabs>
          <w:tab w:val="right" w:leader="dot" w:pos="8845"/>
          <w:tab w:val="clear" w:pos="420"/>
          <w:tab w:val="clear" w:pos="9016"/>
        </w:tabs>
        <w:spacing w:line="276" w:lineRule="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_Toc2078668580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kern w:val="2"/>
          <w:sz w:val="30"/>
          <w:szCs w:val="30"/>
          <w:lang w:val="en-US" w:eastAsia="zh-CN" w:bidi="ar-SA"/>
        </w:rPr>
        <w:t>4重点区域与重点领域</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_Toc2078668580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- 52 -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_Toc2134683153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4.1重点区域</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_Toc2134683153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- 52 -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_Toc1374585009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4.2重点领域</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_Toc1374585009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- 59 -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3"/>
        <w:tabs>
          <w:tab w:val="right" w:leader="dot" w:pos="8845"/>
          <w:tab w:val="clear" w:pos="420"/>
          <w:tab w:val="clear" w:pos="9016"/>
        </w:tabs>
        <w:spacing w:line="276" w:lineRule="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_Toc1110048956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kern w:val="2"/>
          <w:sz w:val="30"/>
          <w:szCs w:val="30"/>
          <w:lang w:val="en-US" w:eastAsia="zh-CN" w:bidi="ar-SA"/>
        </w:rPr>
        <w:t>5节水型社会制度建设</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_Toc1110048956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- 64 -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_Toc851640953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5.1节水管理组织体系建设</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_Toc851640953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- 64 -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_Toc747854087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5.2节约用水标准体系建设</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_Toc747854087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- 65 -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_Toc263526254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5.3节水管理制度体系建设</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_Toc263526254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- 66 -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_Toc2043612895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5.4节约用水激励机制建设</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_Toc2043612895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- 67 -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_Toc1284902520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5.5节水宣传教育培训体系建设</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_Toc1284902520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- 72 -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_Toc43944133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5.6节约用水监督考核体系建设</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_Toc43944133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- 74 -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3"/>
        <w:tabs>
          <w:tab w:val="right" w:leader="dot" w:pos="8845"/>
          <w:tab w:val="clear" w:pos="420"/>
          <w:tab w:val="clear" w:pos="9016"/>
        </w:tabs>
        <w:spacing w:line="276" w:lineRule="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_Toc352884592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kern w:val="2"/>
          <w:sz w:val="30"/>
          <w:szCs w:val="30"/>
          <w:lang w:val="en-US" w:eastAsia="zh-CN" w:bidi="ar-SA"/>
        </w:rPr>
        <w:t>6节水基础工程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_Toc352884592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- 75 -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_Toc211001142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6.1供水管网改造</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_Toc211001142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- 75 -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_Toc314076418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6.2非常规水源利用工程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_Toc314076418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- 76 -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_Toc1398029272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6.3农业节水灌溉工程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_Toc1398029272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- 76 -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_Toc1198041071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6.4海绵城市建设工程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_Toc1198041071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- 77 -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_Toc1711081602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6.5能力建设工程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_Toc1711081602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- 79 -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_Toc1383597713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6.6节水载体建设</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_Toc1383597713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- 82 -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3"/>
        <w:tabs>
          <w:tab w:val="right" w:leader="dot" w:pos="8845"/>
          <w:tab w:val="clear" w:pos="420"/>
          <w:tab w:val="clear" w:pos="9016"/>
        </w:tabs>
        <w:spacing w:line="276" w:lineRule="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_Toc1402211498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kern w:val="2"/>
          <w:sz w:val="30"/>
          <w:szCs w:val="30"/>
          <w:lang w:val="en-US" w:eastAsia="zh-CN" w:bidi="ar-SA"/>
        </w:rPr>
        <w:t>7实施效果评价</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_Toc1402211498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- 90 -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_Toc1195891214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7.1经济效益</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_Toc1195891214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- 90 -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_Toc460404452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7.2社会效益</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_Toc460404452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- 90 -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_Toc1709320844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7.3生态效益</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_Toc1709320844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- 91 -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3"/>
        <w:tabs>
          <w:tab w:val="right" w:leader="dot" w:pos="8845"/>
          <w:tab w:val="clear" w:pos="420"/>
          <w:tab w:val="clear" w:pos="9016"/>
        </w:tabs>
        <w:spacing w:line="276" w:lineRule="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_Toc1878301482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kern w:val="2"/>
          <w:sz w:val="30"/>
          <w:szCs w:val="30"/>
          <w:lang w:val="en-US" w:eastAsia="zh-CN" w:bidi="ar-SA"/>
        </w:rPr>
        <w:t>8环境影响评价</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_Toc1878301482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- 92 -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_Toc1916353033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8.1有利影响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_Toc1916353033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- 92 -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_Toc1003913134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8.2不利影响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_Toc1003913134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- 93 -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_Toc270335674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8.3减免不利影响对策措施</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_Toc270335674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- 93 -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3"/>
        <w:tabs>
          <w:tab w:val="right" w:leader="dot" w:pos="8845"/>
          <w:tab w:val="clear" w:pos="420"/>
          <w:tab w:val="clear" w:pos="9016"/>
        </w:tabs>
        <w:spacing w:line="276" w:lineRule="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_Toc751593154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kern w:val="2"/>
          <w:sz w:val="30"/>
          <w:szCs w:val="30"/>
          <w:lang w:val="en-US" w:eastAsia="zh-CN" w:bidi="ar-SA"/>
        </w:rPr>
        <w:t>9保障措施</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_Toc751593154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- 94 -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_Toc1889897031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9.1分解责任，落实任务</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_Toc1889897031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- 95 -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_Toc1288756417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9.2政策扶持，促进节水</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_Toc1288756417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- 95 -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_Toc1069027595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9.3多元投入，拓展融资</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_Toc1069027595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- 95 -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_Toc806560671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9.4加强指导，督促检查</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_Toc806560671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- 96 -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_Toc1356824774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9.5科技创新，提高水平</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_Toc1356824774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- 96 -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_Toc1000212528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bCs w:val="0"/>
          <w:sz w:val="30"/>
          <w:szCs w:val="30"/>
          <w:lang w:val="en-US" w:eastAsia="zh-CN"/>
        </w:rPr>
        <w:t>9.6宣传教育，自觉节水</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_Toc1000212528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- 96 -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_Toc793760176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sz w:val="30"/>
          <w:szCs w:val="30"/>
        </w:rPr>
        <w:t>附表1</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永川区“十四五”供水管网改造工程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_Toc793760176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- 99 -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_Toc583926136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sz w:val="30"/>
          <w:szCs w:val="30"/>
        </w:rPr>
        <w:t>附表2</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永川区“十四五”非常规水源利用工程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_Toc583926136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- 100 -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_Toc2110261484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sz w:val="30"/>
          <w:szCs w:val="30"/>
        </w:rPr>
        <w:t>附表3</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永川区“十四五”农业节水灌溉工程统计表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_Toc2110261484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- 101 -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_Toc1645401129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sz w:val="30"/>
          <w:szCs w:val="30"/>
        </w:rPr>
        <w:t>附表4</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永川区“十四五”海绵城市建设工程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_Toc1645401129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- 103 -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_Toc1331780223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sz w:val="30"/>
          <w:szCs w:val="30"/>
        </w:rPr>
        <w:t>附表5</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永川区“十四五”能力建设项目</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_Toc1331780223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- 106 -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_Toc226304090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sz w:val="30"/>
          <w:szCs w:val="30"/>
          <w:lang w:eastAsia="zh-CN"/>
        </w:rPr>
        <w:t>附图</w:t>
      </w:r>
      <w:r>
        <w:rPr>
          <w:rFonts w:hint="eastAsia" w:ascii="方正仿宋_GBK" w:hAnsi="方正仿宋_GBK" w:eastAsia="方正仿宋_GBK" w:cs="方正仿宋_GBK"/>
          <w:sz w:val="30"/>
          <w:szCs w:val="30"/>
          <w:lang w:val="en-US" w:eastAsia="zh-CN"/>
        </w:rPr>
        <w:t xml:space="preserve">1  </w:t>
      </w:r>
      <w:r>
        <w:rPr>
          <w:rFonts w:hint="eastAsia" w:ascii="方正仿宋_GBK" w:hAnsi="方正仿宋_GBK" w:eastAsia="方正仿宋_GBK" w:cs="方正仿宋_GBK"/>
          <w:sz w:val="30"/>
          <w:szCs w:val="30"/>
          <w:lang w:eastAsia="zh-CN"/>
        </w:rPr>
        <w:t>重庆市永川区河流水系图</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_Toc226304090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- 107 -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_Toc1541530376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sz w:val="30"/>
          <w:szCs w:val="30"/>
          <w:lang w:eastAsia="zh-CN"/>
        </w:rPr>
        <w:t>附图</w:t>
      </w:r>
      <w:r>
        <w:rPr>
          <w:rFonts w:hint="eastAsia" w:ascii="方正仿宋_GBK" w:hAnsi="方正仿宋_GBK" w:eastAsia="方正仿宋_GBK" w:cs="方正仿宋_GBK"/>
          <w:sz w:val="30"/>
          <w:szCs w:val="30"/>
          <w:lang w:val="en-US" w:eastAsia="zh-CN"/>
        </w:rPr>
        <w:t>2  农业节水分布图</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_Toc1541530376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- 108 -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pStyle w:val="14"/>
        <w:tabs>
          <w:tab w:val="right" w:leader="dot" w:pos="8845"/>
          <w:tab w:val="clear" w:pos="9016"/>
        </w:tabs>
        <w:spacing w:line="276" w:lineRule="auto"/>
        <w:ind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fldChar w:fldCharType="begin"/>
      </w:r>
      <w:r>
        <w:rPr>
          <w:rFonts w:hint="eastAsia" w:ascii="方正仿宋_GBK" w:hAnsi="方正仿宋_GBK" w:eastAsia="方正仿宋_GBK" w:cs="方正仿宋_GBK"/>
          <w:bCs/>
          <w:sz w:val="30"/>
          <w:szCs w:val="30"/>
        </w:rPr>
        <w:instrText xml:space="preserve"> HYPERLINK \l _Toc469199096 </w:instrText>
      </w:r>
      <w:r>
        <w:rPr>
          <w:rFonts w:hint="eastAsia" w:ascii="方正仿宋_GBK" w:hAnsi="方正仿宋_GBK" w:eastAsia="方正仿宋_GBK" w:cs="方正仿宋_GBK"/>
          <w:bCs/>
          <w:sz w:val="30"/>
          <w:szCs w:val="30"/>
        </w:rPr>
        <w:fldChar w:fldCharType="separate"/>
      </w:r>
      <w:r>
        <w:rPr>
          <w:rFonts w:hint="eastAsia" w:ascii="方正仿宋_GBK" w:hAnsi="方正仿宋_GBK" w:eastAsia="方正仿宋_GBK" w:cs="方正仿宋_GBK"/>
          <w:sz w:val="30"/>
          <w:szCs w:val="30"/>
          <w:lang w:eastAsia="zh-CN"/>
        </w:rPr>
        <w:t>附图</w:t>
      </w:r>
      <w:r>
        <w:rPr>
          <w:rFonts w:hint="eastAsia" w:ascii="方正仿宋_GBK" w:hAnsi="方正仿宋_GBK" w:eastAsia="方正仿宋_GBK" w:cs="方正仿宋_GBK"/>
          <w:sz w:val="30"/>
          <w:szCs w:val="30"/>
          <w:lang w:val="en-US" w:eastAsia="zh-CN"/>
        </w:rPr>
        <w:t>3  管网改造工程及非常规水分布图</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_Toc469199096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- 109 -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sz w:val="30"/>
          <w:szCs w:val="30"/>
        </w:rPr>
        <w:fldChar w:fldCharType="end"/>
      </w:r>
    </w:p>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textAlignment w:val="auto"/>
        <w:rPr>
          <w:rFonts w:ascii="方正仿宋_GBK" w:hAnsi="宋体" w:eastAsia="方正仿宋_GBK"/>
          <w:sz w:val="28"/>
          <w:szCs w:val="28"/>
        </w:rPr>
      </w:pPr>
      <w:r>
        <w:rPr>
          <w:rFonts w:hint="eastAsia" w:ascii="方正仿宋_GBK" w:hAnsi="方正仿宋_GBK" w:eastAsia="方正仿宋_GBK" w:cs="方正仿宋_GBK"/>
          <w:bCs/>
          <w:sz w:val="30"/>
          <w:szCs w:val="30"/>
        </w:rPr>
        <w:fldChar w:fldCharType="end"/>
      </w:r>
    </w:p>
    <w:p>
      <w:pPr>
        <w:pStyle w:val="2"/>
        <w:keepNext w:val="0"/>
        <w:keepLines w:val="0"/>
        <w:snapToGrid w:val="0"/>
        <w:spacing w:before="0" w:beforeLines="0" w:after="0" w:afterLines="0" w:line="240" w:lineRule="auto"/>
        <w:jc w:val="center"/>
        <w:rPr>
          <w:rFonts w:hint="eastAsia" w:ascii="方正小标宋_GBK" w:hAnsi="方正小标宋_GBK" w:eastAsia="方正小标宋_GBK" w:cs="方正小标宋_GBK"/>
          <w:b w:val="0"/>
          <w:bCs w:val="0"/>
          <w:sz w:val="44"/>
          <w:szCs w:val="44"/>
        </w:rPr>
      </w:pPr>
      <w:bookmarkStart w:id="2" w:name="_Toc637158492"/>
      <w:bookmarkStart w:id="3" w:name="_Toc28483"/>
      <w:bookmarkStart w:id="4" w:name="_Toc1655386572"/>
      <w:r>
        <w:rPr>
          <w:rFonts w:hint="eastAsia" w:ascii="方正小标宋_GBK" w:hAnsi="方正小标宋_GBK" w:eastAsia="方正小标宋_GBK" w:cs="方正小标宋_GBK"/>
          <w:b w:val="0"/>
          <w:bCs w:val="0"/>
          <w:sz w:val="44"/>
          <w:szCs w:val="44"/>
        </w:rPr>
        <w:br w:type="page"/>
      </w:r>
      <w:bookmarkStart w:id="5" w:name="_Toc987039929"/>
      <w:r>
        <w:rPr>
          <w:rFonts w:hint="eastAsia" w:ascii="方正小标宋_GBK" w:hAnsi="方正小标宋_GBK" w:eastAsia="方正小标宋_GBK" w:cs="方正小标宋_GBK"/>
          <w:b w:val="0"/>
          <w:bCs w:val="0"/>
          <w:sz w:val="44"/>
          <w:szCs w:val="44"/>
        </w:rPr>
        <w:t>前言</w:t>
      </w:r>
      <w:bookmarkEnd w:id="2"/>
      <w:bookmarkEnd w:id="3"/>
      <w:bookmarkEnd w:id="4"/>
      <w:bookmarkEnd w:id="5"/>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640" w:firstLineChars="200"/>
        <w:textAlignment w:val="auto"/>
        <w:rPr>
          <w:rFonts w:hint="eastAsia" w:ascii="方正仿宋_GBK" w:hAnsi="宋体" w:eastAsia="方正仿宋_GBK"/>
          <w:sz w:val="32"/>
          <w:szCs w:val="32"/>
        </w:rPr>
      </w:pPr>
    </w:p>
    <w:p>
      <w:pPr>
        <w:keepNext w:val="0"/>
        <w:keepLines w:val="0"/>
        <w:pageBreakBefore w:val="0"/>
        <w:widowControl w:val="0"/>
        <w:kinsoku/>
        <w:wordWrap/>
        <w:overflowPunct/>
        <w:topLinePunct w:val="0"/>
        <w:autoSpaceDE/>
        <w:autoSpaceDN/>
        <w:bidi w:val="0"/>
        <w:adjustRightInd w:val="0"/>
        <w:snapToGrid w:val="0"/>
        <w:spacing w:beforeLines="0" w:afterLines="0" w:line="276" w:lineRule="auto"/>
        <w:ind w:firstLine="640" w:firstLineChars="200"/>
        <w:textAlignment w:val="auto"/>
        <w:rPr>
          <w:rFonts w:ascii="方正仿宋_GBK" w:hAnsi="宋体" w:eastAsia="方正仿宋_GBK"/>
          <w:sz w:val="32"/>
          <w:szCs w:val="32"/>
        </w:rPr>
      </w:pPr>
      <w:r>
        <w:rPr>
          <w:rFonts w:hint="eastAsia" w:ascii="方正仿宋_GBK" w:hAnsi="宋体" w:eastAsia="方正仿宋_GBK"/>
          <w:sz w:val="32"/>
          <w:szCs w:val="32"/>
        </w:rPr>
        <w:t>习近平总书记站在党和国家事业发展全局的战略高度，提出了坚持“节水优先、空间均衡、系统治理、两手发力”治水方针，“节水优先”是首要内容。重庆地区是西部地区唯一的直辖市，应围绕习近平总书记对重庆提出的“两点”定位、“两地”“两高”目标，把总书记“节水优先”的重要指示落实在重庆水利工作中，始终坚持“生态优先，绿色发展”和“共抓大保护，不搞大开发”，切实保护和利用好水资源，推动全市经济社会高质量发展。</w:t>
      </w:r>
    </w:p>
    <w:p>
      <w:pPr>
        <w:keepNext w:val="0"/>
        <w:keepLines w:val="0"/>
        <w:pageBreakBefore w:val="0"/>
        <w:widowControl w:val="0"/>
        <w:kinsoku/>
        <w:wordWrap/>
        <w:overflowPunct/>
        <w:topLinePunct w:val="0"/>
        <w:autoSpaceDE/>
        <w:autoSpaceDN/>
        <w:bidi w:val="0"/>
        <w:adjustRightInd w:val="0"/>
        <w:snapToGrid w:val="0"/>
        <w:spacing w:beforeLines="0" w:afterLines="0" w:line="276" w:lineRule="auto"/>
        <w:ind w:firstLine="640" w:firstLineChars="200"/>
        <w:textAlignment w:val="auto"/>
        <w:rPr>
          <w:rFonts w:ascii="方正仿宋_GBK" w:hAnsi="宋体" w:eastAsia="方正仿宋_GBK"/>
          <w:sz w:val="32"/>
          <w:szCs w:val="32"/>
        </w:rPr>
      </w:pPr>
      <w:r>
        <w:rPr>
          <w:rFonts w:hint="eastAsia" w:ascii="方正仿宋_GBK" w:hAnsi="宋体" w:eastAsia="方正仿宋_GBK"/>
          <w:sz w:val="32"/>
          <w:szCs w:val="32"/>
        </w:rPr>
        <w:t>在“十三五”期间，永川区坚持“节水优先”方针，大力推动全社会节水，制定了《永川区节水管理办法》《永川区水</w:t>
      </w:r>
      <w:r>
        <w:rPr>
          <w:rFonts w:hint="eastAsia" w:ascii="方正仿宋_GBK" w:hAnsi="宋体" w:eastAsia="方正仿宋_GBK"/>
          <w:sz w:val="32"/>
          <w:szCs w:val="32"/>
          <w:lang w:eastAsia="zh-CN"/>
        </w:rPr>
        <w:t>价</w:t>
      </w:r>
      <w:r>
        <w:rPr>
          <w:rFonts w:hint="eastAsia" w:ascii="方正仿宋_GBK" w:hAnsi="宋体" w:eastAsia="方正仿宋_GBK"/>
          <w:sz w:val="32"/>
          <w:szCs w:val="32"/>
        </w:rPr>
        <w:t>管理办法》等一系列节水制度，广泛开展节水载体建设，强化计划用水管理，加强重点用水单位监控管理，加快推进节水技术改造，全面提升水资源利用效率。于2018年底，永川区节水型社会达标建设顺利通过市级验收。永川区在节水型社会建设、节水管理制度建设、定额标准体系、节水宣传教育等方面取得重要进展和显著成效。</w:t>
      </w:r>
    </w:p>
    <w:p>
      <w:pPr>
        <w:keepNext w:val="0"/>
        <w:keepLines w:val="0"/>
        <w:pageBreakBefore w:val="0"/>
        <w:widowControl w:val="0"/>
        <w:kinsoku/>
        <w:wordWrap/>
        <w:overflowPunct/>
        <w:topLinePunct w:val="0"/>
        <w:autoSpaceDE/>
        <w:autoSpaceDN/>
        <w:bidi w:val="0"/>
        <w:adjustRightInd w:val="0"/>
        <w:snapToGrid w:val="0"/>
        <w:spacing w:beforeLines="0" w:afterLines="0" w:line="276" w:lineRule="auto"/>
        <w:ind w:firstLine="640" w:firstLineChars="200"/>
        <w:textAlignment w:val="auto"/>
        <w:rPr>
          <w:rFonts w:hint="eastAsia" w:ascii="方正仿宋_GBK" w:hAnsi="宋体" w:eastAsia="方正仿宋_GBK"/>
          <w:sz w:val="32"/>
          <w:szCs w:val="32"/>
        </w:rPr>
      </w:pPr>
      <w:r>
        <w:rPr>
          <w:rFonts w:hint="eastAsia" w:ascii="方正仿宋_GBK" w:hAnsi="宋体" w:eastAsia="方正仿宋_GBK"/>
          <w:sz w:val="32"/>
          <w:szCs w:val="32"/>
        </w:rPr>
        <w:t>“十四五”时期，是全面建成小康社会、实现</w:t>
      </w:r>
      <w:r>
        <w:rPr>
          <w:rFonts w:hint="eastAsia" w:ascii="方正仿宋_GBK" w:hAnsi="宋体" w:eastAsia="方正仿宋_GBK"/>
          <w:sz w:val="32"/>
          <w:szCs w:val="32"/>
          <w:lang w:eastAsia="zh-CN"/>
        </w:rPr>
        <w:t>党的</w:t>
      </w:r>
      <w:r>
        <w:rPr>
          <w:rFonts w:hint="eastAsia" w:ascii="方正仿宋_GBK" w:hAnsi="宋体" w:eastAsia="方正仿宋_GBK"/>
          <w:sz w:val="32"/>
          <w:szCs w:val="32"/>
        </w:rPr>
        <w:t>第一个百年奋斗目标之后</w:t>
      </w:r>
      <w:r>
        <w:rPr>
          <w:rFonts w:hint="eastAsia" w:ascii="方正仿宋_GBK" w:hAnsi="宋体" w:eastAsia="方正仿宋_GBK"/>
          <w:sz w:val="32"/>
          <w:szCs w:val="32"/>
          <w:lang w:eastAsia="zh-CN"/>
        </w:rPr>
        <w:t>，</w:t>
      </w:r>
      <w:r>
        <w:rPr>
          <w:rFonts w:hint="eastAsia" w:ascii="方正仿宋_GBK" w:hAnsi="宋体" w:eastAsia="方正仿宋_GBK"/>
          <w:sz w:val="32"/>
          <w:szCs w:val="32"/>
        </w:rPr>
        <w:t>乘势而上开启全面建设社会主义现代化国家新征程、向第二个百年奋斗目标进军的第一个五年。党的十九届五中全会强调实施国家节水行动</w:t>
      </w:r>
      <w:r>
        <w:rPr>
          <w:rFonts w:hint="eastAsia" w:ascii="方正仿宋_GBK" w:hAnsi="宋体" w:eastAsia="方正仿宋_GBK"/>
          <w:sz w:val="32"/>
          <w:szCs w:val="32"/>
          <w:lang w:eastAsia="zh-CN"/>
        </w:rPr>
        <w:t>，</w:t>
      </w:r>
      <w:r>
        <w:rPr>
          <w:rFonts w:hint="eastAsia" w:ascii="方正仿宋_GBK" w:hAnsi="宋体" w:eastAsia="方正仿宋_GBK"/>
          <w:sz w:val="32"/>
          <w:szCs w:val="32"/>
        </w:rPr>
        <w:t>明确了“十四五”乃至更长时期节约用水的战略任务。永川区将坚持以习近平新时代中国特色社会主义思想为指导，全面贯彻落实党的十九大和十九届历次全会精神，进一步增强“四个意识”、坚定“四个自信”、做到“两个维护”，自觉落实“两个确立”，弘扬伟大建党精神，统筹推进“五位一体”总体布局，协调推进“四个全面”战略布局，立足新发展阶段，完整、准确、全面贯彻新发展理念，积极融入和服务新发展格局，坚持稳中求进工作总基调，以推动高质量发展为主题，以深化供给侧结构性改革为主线，以改革创新为根本动力，以满足人民日益增长的美好生活需要为根本目的，贯彻实施永川“2235”总体发展思路，聚焦成渝地区双城经济圈建设和“一区两群”协调发展，统筹疫情防控和经济社会发展，统筹发展和安全，推动各项事业发展再上新台阶，奋力谱写永川高质量发展、高品质生活新篇章。</w:t>
      </w:r>
    </w:p>
    <w:p>
      <w:pPr>
        <w:keepNext w:val="0"/>
        <w:keepLines w:val="0"/>
        <w:pageBreakBefore w:val="0"/>
        <w:widowControl w:val="0"/>
        <w:kinsoku/>
        <w:wordWrap/>
        <w:overflowPunct/>
        <w:topLinePunct w:val="0"/>
        <w:autoSpaceDE/>
        <w:autoSpaceDN/>
        <w:bidi w:val="0"/>
        <w:adjustRightInd w:val="0"/>
        <w:snapToGrid w:val="0"/>
        <w:spacing w:beforeLines="0" w:afterLines="0" w:line="276" w:lineRule="auto"/>
        <w:ind w:firstLine="640" w:firstLineChars="200"/>
        <w:textAlignment w:val="auto"/>
        <w:rPr>
          <w:rFonts w:ascii="方正仿宋_GBK" w:hAnsi="宋体" w:eastAsia="方正仿宋_GBK"/>
          <w:sz w:val="32"/>
          <w:szCs w:val="32"/>
        </w:rPr>
      </w:pPr>
      <w:r>
        <w:rPr>
          <w:rFonts w:ascii="方正仿宋_GBK" w:hAnsi="宋体" w:eastAsia="方正仿宋_GBK"/>
          <w:sz w:val="32"/>
          <w:szCs w:val="32"/>
        </w:rPr>
        <w:t>为应对当前节水</w:t>
      </w:r>
      <w:r>
        <w:rPr>
          <w:rFonts w:hint="eastAsia" w:ascii="方正仿宋_GBK" w:hAnsi="宋体" w:eastAsia="方正仿宋_GBK"/>
          <w:sz w:val="32"/>
          <w:szCs w:val="32"/>
        </w:rPr>
        <w:t>工作发展的机遇与挑战，永川区将在“十四五”全面落实“节水优先”方针，全面实施节水行动，围绕促进“三个转变”：水资源开发利用从“重开源轻视节流”到“节水优先”的转变，将节水理念落实到社会经济发展的各个环节；各行业用水从“以需定供”到“以供定需”的转变，将节水措施贯穿生产生活的全过程；节约用水从“要我节水”的政府行为到“我要节水”的全社会自发行为的转变，将节水行动融入生态文明建设的各个方面。</w:t>
      </w:r>
    </w:p>
    <w:p>
      <w:pPr>
        <w:keepNext w:val="0"/>
        <w:keepLines w:val="0"/>
        <w:pageBreakBefore w:val="0"/>
        <w:widowControl w:val="0"/>
        <w:kinsoku/>
        <w:wordWrap/>
        <w:overflowPunct/>
        <w:topLinePunct w:val="0"/>
        <w:autoSpaceDE/>
        <w:autoSpaceDN/>
        <w:bidi w:val="0"/>
        <w:adjustRightInd w:val="0"/>
        <w:snapToGrid w:val="0"/>
        <w:spacing w:beforeLines="0" w:afterLines="0" w:line="276" w:lineRule="auto"/>
        <w:ind w:firstLine="640" w:firstLineChars="200"/>
        <w:textAlignment w:val="auto"/>
        <w:rPr>
          <w:rFonts w:hint="eastAsia" w:ascii="方正仿宋_GBK" w:hAnsi="宋体" w:eastAsia="方正仿宋_GBK"/>
          <w:sz w:val="32"/>
          <w:szCs w:val="32"/>
        </w:rPr>
      </w:pPr>
      <w:r>
        <w:rPr>
          <w:rFonts w:hint="eastAsia" w:ascii="方正仿宋_GBK" w:hAnsi="宋体" w:eastAsia="方正仿宋_GBK"/>
          <w:sz w:val="32"/>
          <w:szCs w:val="32"/>
        </w:rPr>
        <w:t>为进一步促进永川区“十四五”节水行动</w:t>
      </w:r>
      <w:r>
        <w:rPr>
          <w:rFonts w:hint="eastAsia" w:ascii="方正仿宋_GBK" w:hAnsi="宋体" w:eastAsia="方正仿宋_GBK"/>
          <w:sz w:val="32"/>
          <w:szCs w:val="32"/>
          <w:lang w:eastAsia="zh-CN"/>
        </w:rPr>
        <w:t>开展</w:t>
      </w:r>
      <w:r>
        <w:rPr>
          <w:rFonts w:hint="eastAsia" w:ascii="方正仿宋_GBK" w:hAnsi="宋体" w:eastAsia="方正仿宋_GBK"/>
          <w:sz w:val="32"/>
          <w:szCs w:val="32"/>
        </w:rPr>
        <w:t>，根据《水利部关于印发2020年水利系统节约用水工作要点及重点任务清单的通知》（水节约</w:t>
      </w:r>
      <w:r>
        <w:rPr>
          <w:rFonts w:hint="eastAsia" w:ascii="方正隶书_GBK" w:hAnsi="方正隶书_GBK" w:eastAsia="方正隶书_GBK" w:cs="方正隶书_GBK"/>
          <w:sz w:val="32"/>
          <w:szCs w:val="32"/>
        </w:rPr>
        <w:t>〔</w:t>
      </w:r>
      <w:r>
        <w:rPr>
          <w:rFonts w:hint="eastAsia" w:ascii="方正仿宋_GBK" w:hAnsi="宋体" w:eastAsia="方正仿宋_GBK"/>
          <w:sz w:val="32"/>
          <w:szCs w:val="32"/>
        </w:rPr>
        <w:t>2020</w:t>
      </w:r>
      <w:r>
        <w:rPr>
          <w:rFonts w:hint="eastAsia" w:ascii="方正仿宋_GBK" w:hAnsi="方正仿宋_GBK" w:eastAsia="方正仿宋_GBK" w:cs="方正仿宋_GBK"/>
          <w:sz w:val="32"/>
          <w:szCs w:val="32"/>
        </w:rPr>
        <w:t>〕</w:t>
      </w:r>
      <w:r>
        <w:rPr>
          <w:rFonts w:hint="eastAsia" w:ascii="方正仿宋_GBK" w:hAnsi="宋体" w:eastAsia="方正仿宋_GBK"/>
          <w:sz w:val="32"/>
          <w:szCs w:val="32"/>
        </w:rPr>
        <w:t>44号）、《重庆市水利局关于征求重庆市“十四五”节约用水规划工作意见的函》等要求，永川区将总结“十三五”期间取得的节水工作成效，查找存在的问题并分析原因，研究提出“十四五”节约用水主要指标和重点任务举措，编制完成《永川区“十四五”节约用水规划》。</w:t>
      </w:r>
    </w:p>
    <w:p>
      <w:pPr>
        <w:keepNext w:val="0"/>
        <w:keepLines w:val="0"/>
        <w:pageBreakBefore w:val="0"/>
        <w:widowControl w:val="0"/>
        <w:kinsoku/>
        <w:wordWrap/>
        <w:overflowPunct/>
        <w:topLinePunct w:val="0"/>
        <w:autoSpaceDE/>
        <w:autoSpaceDN/>
        <w:bidi w:val="0"/>
        <w:snapToGrid w:val="0"/>
        <w:spacing w:beforeLines="0" w:afterLines="0" w:line="264" w:lineRule="auto"/>
        <w:jc w:val="center"/>
        <w:textAlignment w:val="auto"/>
        <w:rPr>
          <w:rFonts w:hint="eastAsia" w:ascii="方正楷体_GBK" w:hAnsi="方正楷体_GBK" w:eastAsia="方正楷体_GBK" w:cs="方正楷体_GBK"/>
          <w:sz w:val="30"/>
          <w:szCs w:val="30"/>
        </w:rPr>
      </w:pPr>
      <w:r>
        <w:rPr>
          <w:rFonts w:hint="eastAsia" w:ascii="方正楷体_GBK" w:hAnsi="方正楷体_GBK" w:eastAsia="方正楷体_GBK" w:cs="方正楷体_GBK"/>
          <w:sz w:val="30"/>
          <w:szCs w:val="30"/>
        </w:rPr>
        <w:t xml:space="preserve">表1 </w:t>
      </w:r>
      <w:r>
        <w:rPr>
          <w:rFonts w:hint="eastAsia" w:ascii="方正楷体_GBK" w:hAnsi="方正楷体_GBK" w:eastAsia="方正楷体_GBK" w:cs="方正楷体_GBK"/>
          <w:sz w:val="30"/>
          <w:szCs w:val="30"/>
          <w:lang w:val="en" w:eastAsia="zh-CN"/>
        </w:rPr>
        <w:t xml:space="preserve"> </w:t>
      </w:r>
      <w:r>
        <w:rPr>
          <w:rFonts w:hint="eastAsia" w:ascii="方正楷体_GBK" w:hAnsi="方正楷体_GBK" w:eastAsia="方正楷体_GBK" w:cs="方正楷体_GBK"/>
          <w:sz w:val="30"/>
          <w:szCs w:val="30"/>
        </w:rPr>
        <w:t>永川区“十四五”节约用水规划主要指标表</w:t>
      </w:r>
    </w:p>
    <w:tbl>
      <w:tblPr>
        <w:tblStyle w:val="17"/>
        <w:tblW w:w="5166" w:type="pct"/>
        <w:jc w:val="center"/>
        <w:tblLayout w:type="autofit"/>
        <w:tblCellMar>
          <w:top w:w="0" w:type="dxa"/>
          <w:left w:w="108" w:type="dxa"/>
          <w:bottom w:w="0" w:type="dxa"/>
          <w:right w:w="108" w:type="dxa"/>
        </w:tblCellMar>
      </w:tblPr>
      <w:tblGrid>
        <w:gridCol w:w="691"/>
        <w:gridCol w:w="1530"/>
        <w:gridCol w:w="3552"/>
        <w:gridCol w:w="749"/>
        <w:gridCol w:w="942"/>
        <w:gridCol w:w="957"/>
        <w:gridCol w:w="941"/>
      </w:tblGrid>
      <w:tr>
        <w:tblPrEx>
          <w:tblCellMar>
            <w:top w:w="0" w:type="dxa"/>
            <w:left w:w="108" w:type="dxa"/>
            <w:bottom w:w="0" w:type="dxa"/>
            <w:right w:w="108" w:type="dxa"/>
          </w:tblCellMar>
        </w:tblPrEx>
        <w:trPr>
          <w:trHeight w:val="356" w:hRule="atLeast"/>
          <w:jc w:val="center"/>
        </w:trPr>
        <w:tc>
          <w:tcPr>
            <w:tcW w:w="369" w:type="pct"/>
            <w:tcBorders>
              <w:top w:val="single" w:color="000000" w:sz="8" w:space="0"/>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序号</w:t>
            </w:r>
          </w:p>
        </w:tc>
        <w:tc>
          <w:tcPr>
            <w:tcW w:w="2713" w:type="pct"/>
            <w:gridSpan w:val="2"/>
            <w:tcBorders>
              <w:top w:val="single" w:color="000000" w:sz="8" w:space="0"/>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指标名称</w:t>
            </w:r>
          </w:p>
        </w:tc>
        <w:tc>
          <w:tcPr>
            <w:tcW w:w="400" w:type="pct"/>
            <w:tcBorders>
              <w:top w:val="single" w:color="000000" w:sz="8" w:space="0"/>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单位</w:t>
            </w:r>
          </w:p>
        </w:tc>
        <w:tc>
          <w:tcPr>
            <w:tcW w:w="503" w:type="pct"/>
            <w:tcBorders>
              <w:top w:val="single" w:color="000000" w:sz="8" w:space="0"/>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2020年</w:t>
            </w:r>
          </w:p>
        </w:tc>
        <w:tc>
          <w:tcPr>
            <w:tcW w:w="511" w:type="pct"/>
            <w:tcBorders>
              <w:top w:val="single" w:color="000000" w:sz="8" w:space="0"/>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2025年</w:t>
            </w:r>
          </w:p>
        </w:tc>
        <w:tc>
          <w:tcPr>
            <w:tcW w:w="502" w:type="pct"/>
            <w:tcBorders>
              <w:top w:val="single" w:color="000000" w:sz="8" w:space="0"/>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指标</w:t>
            </w:r>
          </w:p>
          <w:p>
            <w:pPr>
              <w:widowControl w:val="0"/>
              <w:adjustRightInd w:val="0"/>
              <w:snapToGrid w:val="0"/>
              <w:spacing w:line="240" w:lineRule="auto"/>
              <w:jc w:val="center"/>
              <w:rPr>
                <w:rFonts w:hint="eastAsia"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属性</w:t>
            </w:r>
          </w:p>
        </w:tc>
      </w:tr>
      <w:tr>
        <w:tblPrEx>
          <w:tblCellMar>
            <w:top w:w="0" w:type="dxa"/>
            <w:left w:w="108" w:type="dxa"/>
            <w:bottom w:w="0" w:type="dxa"/>
            <w:right w:w="108" w:type="dxa"/>
          </w:tblCellMar>
        </w:tblPrEx>
        <w:trPr>
          <w:trHeight w:val="424" w:hRule="atLeast"/>
          <w:jc w:val="center"/>
        </w:trPr>
        <w:tc>
          <w:tcPr>
            <w:tcW w:w="369" w:type="pct"/>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w:t>
            </w:r>
          </w:p>
        </w:tc>
        <w:tc>
          <w:tcPr>
            <w:tcW w:w="2713" w:type="pct"/>
            <w:gridSpan w:val="2"/>
            <w:tcBorders>
              <w:top w:val="single" w:color="000000" w:sz="8" w:space="0"/>
              <w:left w:val="nil"/>
              <w:bottom w:val="single" w:color="000000" w:sz="8" w:space="0"/>
              <w:right w:val="single" w:color="000000" w:sz="8" w:space="0"/>
            </w:tcBorders>
            <w:noWrap w:val="0"/>
            <w:vAlign w:val="center"/>
          </w:tcPr>
          <w:p>
            <w:pPr>
              <w:widowControl w:val="0"/>
              <w:adjustRightInd w:val="0"/>
              <w:snapToGrid w:val="0"/>
              <w:spacing w:line="240" w:lineRule="auto"/>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用水总量</w:t>
            </w:r>
          </w:p>
        </w:tc>
        <w:tc>
          <w:tcPr>
            <w:tcW w:w="400"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万m</w:t>
            </w:r>
            <w:r>
              <w:rPr>
                <w:rFonts w:hint="eastAsia" w:ascii="方正仿宋_GBK" w:hAnsi="方正仿宋_GBK" w:eastAsia="方正仿宋_GBK" w:cs="方正仿宋_GBK"/>
                <w:kern w:val="0"/>
                <w:sz w:val="21"/>
                <w:szCs w:val="21"/>
                <w:vertAlign w:val="superscript"/>
              </w:rPr>
              <w:t>3</w:t>
            </w:r>
          </w:p>
        </w:tc>
        <w:tc>
          <w:tcPr>
            <w:tcW w:w="503"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39700</w:t>
            </w:r>
          </w:p>
        </w:tc>
        <w:tc>
          <w:tcPr>
            <w:tcW w:w="511"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lang w:val="en-US" w:eastAsia="zh-CN"/>
              </w:rPr>
            </w:pPr>
            <w:r>
              <w:rPr>
                <w:rFonts w:hint="eastAsia" w:ascii="方正仿宋_GBK" w:hAnsi="方正仿宋_GBK" w:eastAsia="方正仿宋_GBK" w:cs="方正仿宋_GBK"/>
                <w:kern w:val="0"/>
                <w:sz w:val="21"/>
                <w:szCs w:val="21"/>
              </w:rPr>
              <w:t>4</w:t>
            </w:r>
            <w:r>
              <w:rPr>
                <w:rFonts w:hint="eastAsia" w:ascii="方正仿宋_GBK" w:hAnsi="方正仿宋_GBK" w:eastAsia="方正仿宋_GBK" w:cs="方正仿宋_GBK"/>
                <w:kern w:val="0"/>
                <w:sz w:val="21"/>
                <w:szCs w:val="21"/>
                <w:lang w:val="en-US" w:eastAsia="zh-CN"/>
              </w:rPr>
              <w:t>3597</w:t>
            </w:r>
          </w:p>
        </w:tc>
        <w:tc>
          <w:tcPr>
            <w:tcW w:w="502"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约束性</w:t>
            </w:r>
          </w:p>
        </w:tc>
      </w:tr>
      <w:tr>
        <w:tblPrEx>
          <w:tblCellMar>
            <w:top w:w="0" w:type="dxa"/>
            <w:left w:w="108" w:type="dxa"/>
            <w:bottom w:w="0" w:type="dxa"/>
            <w:right w:w="108" w:type="dxa"/>
          </w:tblCellMar>
        </w:tblPrEx>
        <w:trPr>
          <w:trHeight w:val="424" w:hRule="atLeast"/>
          <w:jc w:val="center"/>
        </w:trPr>
        <w:tc>
          <w:tcPr>
            <w:tcW w:w="369" w:type="pct"/>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w:t>
            </w:r>
          </w:p>
        </w:tc>
        <w:tc>
          <w:tcPr>
            <w:tcW w:w="2713" w:type="pct"/>
            <w:gridSpan w:val="2"/>
            <w:tcBorders>
              <w:top w:val="single" w:color="000000" w:sz="8" w:space="0"/>
              <w:left w:val="nil"/>
              <w:bottom w:val="single" w:color="000000" w:sz="8" w:space="0"/>
              <w:right w:val="single" w:color="000000" w:sz="8" w:space="0"/>
            </w:tcBorders>
            <w:noWrap w:val="0"/>
            <w:vAlign w:val="center"/>
          </w:tcPr>
          <w:p>
            <w:pPr>
              <w:widowControl w:val="0"/>
              <w:adjustRightInd w:val="0"/>
              <w:snapToGrid w:val="0"/>
              <w:spacing w:line="240" w:lineRule="auto"/>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单位地区生产总值用水量下降</w:t>
            </w:r>
          </w:p>
        </w:tc>
        <w:tc>
          <w:tcPr>
            <w:tcW w:w="400"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w:t>
            </w:r>
          </w:p>
        </w:tc>
        <w:tc>
          <w:tcPr>
            <w:tcW w:w="503"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w:t>
            </w:r>
          </w:p>
        </w:tc>
        <w:tc>
          <w:tcPr>
            <w:tcW w:w="511"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15</w:t>
            </w:r>
          </w:p>
        </w:tc>
        <w:tc>
          <w:tcPr>
            <w:tcW w:w="502"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约束性</w:t>
            </w:r>
          </w:p>
        </w:tc>
      </w:tr>
      <w:tr>
        <w:tblPrEx>
          <w:tblCellMar>
            <w:top w:w="0" w:type="dxa"/>
            <w:left w:w="108" w:type="dxa"/>
            <w:bottom w:w="0" w:type="dxa"/>
            <w:right w:w="108" w:type="dxa"/>
          </w:tblCellMar>
        </w:tblPrEx>
        <w:trPr>
          <w:trHeight w:val="424" w:hRule="atLeast"/>
          <w:jc w:val="center"/>
        </w:trPr>
        <w:tc>
          <w:tcPr>
            <w:tcW w:w="369" w:type="pct"/>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w:t>
            </w:r>
          </w:p>
        </w:tc>
        <w:tc>
          <w:tcPr>
            <w:tcW w:w="2713" w:type="pct"/>
            <w:gridSpan w:val="2"/>
            <w:tcBorders>
              <w:top w:val="single" w:color="000000" w:sz="8" w:space="0"/>
              <w:left w:val="nil"/>
              <w:bottom w:val="single" w:color="000000" w:sz="8" w:space="0"/>
              <w:right w:val="single" w:color="000000" w:sz="8" w:space="0"/>
            </w:tcBorders>
            <w:noWrap w:val="0"/>
            <w:vAlign w:val="center"/>
          </w:tcPr>
          <w:p>
            <w:pPr>
              <w:widowControl w:val="0"/>
              <w:adjustRightInd w:val="0"/>
              <w:snapToGrid w:val="0"/>
              <w:spacing w:line="240" w:lineRule="auto"/>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单位地区工业增加值用水量下降</w:t>
            </w:r>
          </w:p>
        </w:tc>
        <w:tc>
          <w:tcPr>
            <w:tcW w:w="400"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w:t>
            </w:r>
          </w:p>
        </w:tc>
        <w:tc>
          <w:tcPr>
            <w:tcW w:w="503"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18.14</w:t>
            </w:r>
          </w:p>
        </w:tc>
        <w:tc>
          <w:tcPr>
            <w:tcW w:w="511"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15</w:t>
            </w:r>
          </w:p>
        </w:tc>
        <w:tc>
          <w:tcPr>
            <w:tcW w:w="502"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约束性</w:t>
            </w:r>
          </w:p>
        </w:tc>
      </w:tr>
      <w:tr>
        <w:tblPrEx>
          <w:tblCellMar>
            <w:top w:w="0" w:type="dxa"/>
            <w:left w:w="108" w:type="dxa"/>
            <w:bottom w:w="0" w:type="dxa"/>
            <w:right w:w="108" w:type="dxa"/>
          </w:tblCellMar>
        </w:tblPrEx>
        <w:trPr>
          <w:trHeight w:val="424" w:hRule="atLeast"/>
          <w:jc w:val="center"/>
        </w:trPr>
        <w:tc>
          <w:tcPr>
            <w:tcW w:w="369" w:type="pct"/>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w:t>
            </w:r>
          </w:p>
        </w:tc>
        <w:tc>
          <w:tcPr>
            <w:tcW w:w="2713" w:type="pct"/>
            <w:gridSpan w:val="2"/>
            <w:tcBorders>
              <w:top w:val="single" w:color="000000" w:sz="8" w:space="0"/>
              <w:left w:val="nil"/>
              <w:bottom w:val="single" w:color="000000" w:sz="8" w:space="0"/>
              <w:right w:val="single" w:color="000000" w:sz="8" w:space="0"/>
            </w:tcBorders>
            <w:noWrap w:val="0"/>
            <w:vAlign w:val="center"/>
          </w:tcPr>
          <w:p>
            <w:pPr>
              <w:widowControl w:val="0"/>
              <w:adjustRightInd w:val="0"/>
              <w:snapToGrid w:val="0"/>
              <w:spacing w:line="240" w:lineRule="auto"/>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农田灌溉水利用系数</w:t>
            </w:r>
          </w:p>
        </w:tc>
        <w:tc>
          <w:tcPr>
            <w:tcW w:w="400"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　</w:t>
            </w:r>
          </w:p>
        </w:tc>
        <w:tc>
          <w:tcPr>
            <w:tcW w:w="503"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0.5082</w:t>
            </w:r>
          </w:p>
        </w:tc>
        <w:tc>
          <w:tcPr>
            <w:tcW w:w="511"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0.5224</w:t>
            </w:r>
          </w:p>
        </w:tc>
        <w:tc>
          <w:tcPr>
            <w:tcW w:w="502"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约束性</w:t>
            </w:r>
          </w:p>
        </w:tc>
      </w:tr>
      <w:tr>
        <w:tblPrEx>
          <w:tblCellMar>
            <w:top w:w="0" w:type="dxa"/>
            <w:left w:w="108" w:type="dxa"/>
            <w:bottom w:w="0" w:type="dxa"/>
            <w:right w:w="108" w:type="dxa"/>
          </w:tblCellMar>
        </w:tblPrEx>
        <w:trPr>
          <w:trHeight w:val="424" w:hRule="atLeast"/>
          <w:jc w:val="center"/>
        </w:trPr>
        <w:tc>
          <w:tcPr>
            <w:tcW w:w="369" w:type="pct"/>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w:t>
            </w:r>
          </w:p>
        </w:tc>
        <w:tc>
          <w:tcPr>
            <w:tcW w:w="2713" w:type="pct"/>
            <w:gridSpan w:val="2"/>
            <w:tcBorders>
              <w:top w:val="single" w:color="000000" w:sz="8" w:space="0"/>
              <w:left w:val="nil"/>
              <w:bottom w:val="single" w:color="000000" w:sz="8" w:space="0"/>
              <w:right w:val="single" w:color="000000" w:sz="8" w:space="0"/>
            </w:tcBorders>
            <w:noWrap w:val="0"/>
            <w:vAlign w:val="center"/>
          </w:tcPr>
          <w:p>
            <w:pPr>
              <w:widowControl w:val="0"/>
              <w:adjustRightInd w:val="0"/>
              <w:snapToGrid w:val="0"/>
              <w:spacing w:line="240" w:lineRule="auto"/>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规模以上工业企业工业用水重复利用率</w:t>
            </w:r>
          </w:p>
        </w:tc>
        <w:tc>
          <w:tcPr>
            <w:tcW w:w="400"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w:t>
            </w:r>
          </w:p>
        </w:tc>
        <w:tc>
          <w:tcPr>
            <w:tcW w:w="503"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90</w:t>
            </w:r>
          </w:p>
        </w:tc>
        <w:tc>
          <w:tcPr>
            <w:tcW w:w="511"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92</w:t>
            </w:r>
          </w:p>
        </w:tc>
        <w:tc>
          <w:tcPr>
            <w:tcW w:w="502"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预期性</w:t>
            </w:r>
          </w:p>
        </w:tc>
      </w:tr>
      <w:tr>
        <w:tblPrEx>
          <w:tblCellMar>
            <w:top w:w="0" w:type="dxa"/>
            <w:left w:w="108" w:type="dxa"/>
            <w:bottom w:w="0" w:type="dxa"/>
            <w:right w:w="108" w:type="dxa"/>
          </w:tblCellMar>
        </w:tblPrEx>
        <w:trPr>
          <w:trHeight w:val="424" w:hRule="atLeast"/>
          <w:jc w:val="center"/>
        </w:trPr>
        <w:tc>
          <w:tcPr>
            <w:tcW w:w="369" w:type="pct"/>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6</w:t>
            </w:r>
          </w:p>
        </w:tc>
        <w:tc>
          <w:tcPr>
            <w:tcW w:w="2713" w:type="pct"/>
            <w:gridSpan w:val="2"/>
            <w:tcBorders>
              <w:top w:val="single" w:color="000000" w:sz="8" w:space="0"/>
              <w:left w:val="nil"/>
              <w:bottom w:val="single" w:color="000000" w:sz="8" w:space="0"/>
              <w:right w:val="single" w:color="000000" w:sz="8" w:space="0"/>
            </w:tcBorders>
            <w:noWrap w:val="0"/>
            <w:vAlign w:val="center"/>
          </w:tcPr>
          <w:p>
            <w:pPr>
              <w:widowControl w:val="0"/>
              <w:adjustRightInd w:val="0"/>
              <w:snapToGrid w:val="0"/>
              <w:spacing w:line="240" w:lineRule="auto"/>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城镇公共供水管网漏损率</w:t>
            </w:r>
          </w:p>
        </w:tc>
        <w:tc>
          <w:tcPr>
            <w:tcW w:w="400"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w:t>
            </w:r>
          </w:p>
        </w:tc>
        <w:tc>
          <w:tcPr>
            <w:tcW w:w="503"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7.8</w:t>
            </w:r>
          </w:p>
        </w:tc>
        <w:tc>
          <w:tcPr>
            <w:tcW w:w="511"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＜10</w:t>
            </w:r>
          </w:p>
        </w:tc>
        <w:tc>
          <w:tcPr>
            <w:tcW w:w="502"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预期性</w:t>
            </w:r>
          </w:p>
        </w:tc>
      </w:tr>
      <w:tr>
        <w:tblPrEx>
          <w:tblCellMar>
            <w:top w:w="0" w:type="dxa"/>
            <w:left w:w="108" w:type="dxa"/>
            <w:bottom w:w="0" w:type="dxa"/>
            <w:right w:w="108" w:type="dxa"/>
          </w:tblCellMar>
        </w:tblPrEx>
        <w:trPr>
          <w:trHeight w:val="424" w:hRule="atLeast"/>
          <w:jc w:val="center"/>
        </w:trPr>
        <w:tc>
          <w:tcPr>
            <w:tcW w:w="369" w:type="pct"/>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7</w:t>
            </w:r>
          </w:p>
        </w:tc>
        <w:tc>
          <w:tcPr>
            <w:tcW w:w="2713" w:type="pct"/>
            <w:gridSpan w:val="2"/>
            <w:tcBorders>
              <w:top w:val="single" w:color="000000" w:sz="8" w:space="0"/>
              <w:left w:val="nil"/>
              <w:bottom w:val="single" w:color="000000" w:sz="8" w:space="0"/>
              <w:right w:val="single" w:color="000000" w:sz="8" w:space="0"/>
            </w:tcBorders>
            <w:noWrap w:val="0"/>
            <w:vAlign w:val="center"/>
          </w:tcPr>
          <w:p>
            <w:pPr>
              <w:widowControl w:val="0"/>
              <w:adjustRightInd w:val="0"/>
              <w:snapToGrid w:val="0"/>
              <w:spacing w:line="240" w:lineRule="auto"/>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非常规水源利用量（不含尾水发电）</w:t>
            </w:r>
          </w:p>
        </w:tc>
        <w:tc>
          <w:tcPr>
            <w:tcW w:w="400"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万m</w:t>
            </w:r>
            <w:r>
              <w:rPr>
                <w:rFonts w:hint="eastAsia" w:ascii="方正仿宋_GBK" w:hAnsi="方正仿宋_GBK" w:eastAsia="方正仿宋_GBK" w:cs="方正仿宋_GBK"/>
                <w:kern w:val="0"/>
                <w:sz w:val="21"/>
                <w:szCs w:val="21"/>
                <w:vertAlign w:val="superscript"/>
              </w:rPr>
              <w:t>3</w:t>
            </w:r>
          </w:p>
        </w:tc>
        <w:tc>
          <w:tcPr>
            <w:tcW w:w="503"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117</w:t>
            </w:r>
          </w:p>
        </w:tc>
        <w:tc>
          <w:tcPr>
            <w:tcW w:w="511"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1460</w:t>
            </w:r>
          </w:p>
        </w:tc>
        <w:tc>
          <w:tcPr>
            <w:tcW w:w="502"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预期性</w:t>
            </w:r>
          </w:p>
        </w:tc>
      </w:tr>
      <w:tr>
        <w:tblPrEx>
          <w:tblCellMar>
            <w:top w:w="0" w:type="dxa"/>
            <w:left w:w="108" w:type="dxa"/>
            <w:bottom w:w="0" w:type="dxa"/>
            <w:right w:w="108" w:type="dxa"/>
          </w:tblCellMar>
        </w:tblPrEx>
        <w:trPr>
          <w:trHeight w:val="424" w:hRule="atLeast"/>
          <w:jc w:val="center"/>
        </w:trPr>
        <w:tc>
          <w:tcPr>
            <w:tcW w:w="369" w:type="pct"/>
            <w:vMerge w:val="restart"/>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8</w:t>
            </w:r>
          </w:p>
        </w:tc>
        <w:tc>
          <w:tcPr>
            <w:tcW w:w="817" w:type="pct"/>
            <w:vMerge w:val="restart"/>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用水计量率</w:t>
            </w:r>
          </w:p>
        </w:tc>
        <w:tc>
          <w:tcPr>
            <w:tcW w:w="1895"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农业灌溉用水计量率</w:t>
            </w:r>
          </w:p>
        </w:tc>
        <w:tc>
          <w:tcPr>
            <w:tcW w:w="400"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w:t>
            </w:r>
          </w:p>
        </w:tc>
        <w:tc>
          <w:tcPr>
            <w:tcW w:w="503"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60</w:t>
            </w:r>
          </w:p>
        </w:tc>
        <w:tc>
          <w:tcPr>
            <w:tcW w:w="511"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lang w:val="en-US" w:eastAsia="zh-CN"/>
              </w:rPr>
            </w:pPr>
            <w:r>
              <w:rPr>
                <w:rFonts w:hint="eastAsia" w:ascii="方正仿宋_GBK" w:hAnsi="方正仿宋_GBK" w:eastAsia="方正仿宋_GBK" w:cs="方正仿宋_GBK"/>
                <w:kern w:val="0"/>
                <w:sz w:val="21"/>
                <w:szCs w:val="21"/>
                <w:lang w:val="en-US" w:eastAsia="zh-CN"/>
              </w:rPr>
              <w:t>80</w:t>
            </w:r>
          </w:p>
        </w:tc>
        <w:tc>
          <w:tcPr>
            <w:tcW w:w="502"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预期性</w:t>
            </w:r>
          </w:p>
        </w:tc>
      </w:tr>
      <w:tr>
        <w:tblPrEx>
          <w:tblCellMar>
            <w:top w:w="0" w:type="dxa"/>
            <w:left w:w="108" w:type="dxa"/>
            <w:bottom w:w="0" w:type="dxa"/>
            <w:right w:w="108" w:type="dxa"/>
          </w:tblCellMar>
        </w:tblPrEx>
        <w:trPr>
          <w:trHeight w:val="424" w:hRule="atLeast"/>
          <w:jc w:val="center"/>
        </w:trPr>
        <w:tc>
          <w:tcPr>
            <w:tcW w:w="369" w:type="pct"/>
            <w:vMerge w:val="continue"/>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c>
          <w:tcPr>
            <w:tcW w:w="817" w:type="pct"/>
            <w:vMerge w:val="continue"/>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c>
          <w:tcPr>
            <w:tcW w:w="1895"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工业用水计量率</w:t>
            </w:r>
          </w:p>
        </w:tc>
        <w:tc>
          <w:tcPr>
            <w:tcW w:w="400"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w:t>
            </w:r>
          </w:p>
        </w:tc>
        <w:tc>
          <w:tcPr>
            <w:tcW w:w="503"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100</w:t>
            </w:r>
          </w:p>
        </w:tc>
        <w:tc>
          <w:tcPr>
            <w:tcW w:w="511"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100</w:t>
            </w:r>
          </w:p>
        </w:tc>
        <w:tc>
          <w:tcPr>
            <w:tcW w:w="502"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预期性</w:t>
            </w:r>
          </w:p>
        </w:tc>
      </w:tr>
      <w:tr>
        <w:tblPrEx>
          <w:tblCellMar>
            <w:top w:w="0" w:type="dxa"/>
            <w:left w:w="108" w:type="dxa"/>
            <w:bottom w:w="0" w:type="dxa"/>
            <w:right w:w="108" w:type="dxa"/>
          </w:tblCellMar>
        </w:tblPrEx>
        <w:trPr>
          <w:trHeight w:val="424" w:hRule="atLeast"/>
          <w:jc w:val="center"/>
        </w:trPr>
        <w:tc>
          <w:tcPr>
            <w:tcW w:w="369" w:type="pct"/>
            <w:vMerge w:val="continue"/>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c>
          <w:tcPr>
            <w:tcW w:w="817" w:type="pct"/>
            <w:vMerge w:val="continue"/>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c>
          <w:tcPr>
            <w:tcW w:w="1895"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城镇用水计量率</w:t>
            </w:r>
          </w:p>
        </w:tc>
        <w:tc>
          <w:tcPr>
            <w:tcW w:w="400"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w:t>
            </w:r>
          </w:p>
        </w:tc>
        <w:tc>
          <w:tcPr>
            <w:tcW w:w="503"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100</w:t>
            </w:r>
          </w:p>
        </w:tc>
        <w:tc>
          <w:tcPr>
            <w:tcW w:w="511"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100</w:t>
            </w:r>
          </w:p>
        </w:tc>
        <w:tc>
          <w:tcPr>
            <w:tcW w:w="502"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预期性</w:t>
            </w:r>
          </w:p>
        </w:tc>
      </w:tr>
      <w:tr>
        <w:tblPrEx>
          <w:tblCellMar>
            <w:top w:w="0" w:type="dxa"/>
            <w:left w:w="108" w:type="dxa"/>
            <w:bottom w:w="0" w:type="dxa"/>
            <w:right w:w="108" w:type="dxa"/>
          </w:tblCellMar>
        </w:tblPrEx>
        <w:trPr>
          <w:trHeight w:val="716" w:hRule="atLeast"/>
          <w:jc w:val="center"/>
        </w:trPr>
        <w:tc>
          <w:tcPr>
            <w:tcW w:w="369" w:type="pct"/>
            <w:vMerge w:val="restart"/>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9</w:t>
            </w:r>
          </w:p>
        </w:tc>
        <w:tc>
          <w:tcPr>
            <w:tcW w:w="817" w:type="pct"/>
            <w:vMerge w:val="restart"/>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节水载体</w:t>
            </w:r>
          </w:p>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建成率</w:t>
            </w:r>
          </w:p>
        </w:tc>
        <w:tc>
          <w:tcPr>
            <w:tcW w:w="1895"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规模以上重点用水行业节水型企业覆盖率</w:t>
            </w:r>
          </w:p>
        </w:tc>
        <w:tc>
          <w:tcPr>
            <w:tcW w:w="400"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w:t>
            </w:r>
          </w:p>
        </w:tc>
        <w:tc>
          <w:tcPr>
            <w:tcW w:w="503"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lang w:val="en-US" w:eastAsia="zh-CN"/>
              </w:rPr>
            </w:pPr>
            <w:r>
              <w:rPr>
                <w:rFonts w:hint="eastAsia" w:ascii="方正仿宋_GBK" w:hAnsi="方正仿宋_GBK" w:eastAsia="方正仿宋_GBK" w:cs="方正仿宋_GBK"/>
                <w:kern w:val="0"/>
                <w:sz w:val="21"/>
                <w:szCs w:val="21"/>
                <w:lang w:val="en-US" w:eastAsia="zh-CN"/>
              </w:rPr>
              <w:t>45</w:t>
            </w:r>
          </w:p>
        </w:tc>
        <w:tc>
          <w:tcPr>
            <w:tcW w:w="511"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lang w:val="en-US" w:eastAsia="zh-CN"/>
              </w:rPr>
            </w:pPr>
            <w:r>
              <w:rPr>
                <w:rFonts w:hint="eastAsia" w:ascii="方正仿宋_GBK" w:hAnsi="方正仿宋_GBK" w:eastAsia="方正仿宋_GBK" w:cs="方正仿宋_GBK"/>
                <w:kern w:val="0"/>
                <w:sz w:val="21"/>
                <w:szCs w:val="21"/>
                <w:lang w:val="en-US" w:eastAsia="zh-CN"/>
              </w:rPr>
              <w:t>100</w:t>
            </w:r>
          </w:p>
        </w:tc>
        <w:tc>
          <w:tcPr>
            <w:tcW w:w="502"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预期性</w:t>
            </w:r>
          </w:p>
        </w:tc>
      </w:tr>
      <w:tr>
        <w:tblPrEx>
          <w:tblCellMar>
            <w:top w:w="0" w:type="dxa"/>
            <w:left w:w="108" w:type="dxa"/>
            <w:bottom w:w="0" w:type="dxa"/>
            <w:right w:w="108" w:type="dxa"/>
          </w:tblCellMar>
        </w:tblPrEx>
        <w:trPr>
          <w:trHeight w:val="424" w:hRule="atLeast"/>
          <w:jc w:val="center"/>
        </w:trPr>
        <w:tc>
          <w:tcPr>
            <w:tcW w:w="369" w:type="pct"/>
            <w:vMerge w:val="continue"/>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c>
          <w:tcPr>
            <w:tcW w:w="817" w:type="pct"/>
            <w:vMerge w:val="continue"/>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c>
          <w:tcPr>
            <w:tcW w:w="1895"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公共机构节水型单位建成率</w:t>
            </w:r>
          </w:p>
        </w:tc>
        <w:tc>
          <w:tcPr>
            <w:tcW w:w="400"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w:t>
            </w:r>
          </w:p>
        </w:tc>
        <w:tc>
          <w:tcPr>
            <w:tcW w:w="503"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62</w:t>
            </w:r>
          </w:p>
        </w:tc>
        <w:tc>
          <w:tcPr>
            <w:tcW w:w="511"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100</w:t>
            </w:r>
          </w:p>
        </w:tc>
        <w:tc>
          <w:tcPr>
            <w:tcW w:w="502"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预期性</w:t>
            </w:r>
          </w:p>
        </w:tc>
      </w:tr>
      <w:tr>
        <w:tblPrEx>
          <w:tblCellMar>
            <w:top w:w="0" w:type="dxa"/>
            <w:left w:w="108" w:type="dxa"/>
            <w:bottom w:w="0" w:type="dxa"/>
            <w:right w:w="108" w:type="dxa"/>
          </w:tblCellMar>
        </w:tblPrEx>
        <w:trPr>
          <w:trHeight w:val="497" w:hRule="atLeast"/>
          <w:jc w:val="center"/>
        </w:trPr>
        <w:tc>
          <w:tcPr>
            <w:tcW w:w="369" w:type="pct"/>
            <w:vMerge w:val="continue"/>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c>
          <w:tcPr>
            <w:tcW w:w="817" w:type="pct"/>
            <w:vMerge w:val="continue"/>
            <w:tcBorders>
              <w:top w:val="nil"/>
              <w:left w:val="single" w:color="000000" w:sz="8" w:space="0"/>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c>
          <w:tcPr>
            <w:tcW w:w="1895"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节水型小区创建率</w:t>
            </w:r>
          </w:p>
        </w:tc>
        <w:tc>
          <w:tcPr>
            <w:tcW w:w="400"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w:t>
            </w:r>
          </w:p>
        </w:tc>
        <w:tc>
          <w:tcPr>
            <w:tcW w:w="503"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17</w:t>
            </w:r>
          </w:p>
        </w:tc>
        <w:tc>
          <w:tcPr>
            <w:tcW w:w="511"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40</w:t>
            </w:r>
          </w:p>
        </w:tc>
        <w:tc>
          <w:tcPr>
            <w:tcW w:w="502" w:type="pct"/>
            <w:tcBorders>
              <w:top w:val="nil"/>
              <w:left w:val="nil"/>
              <w:bottom w:val="single" w:color="000000" w:sz="8" w:space="0"/>
              <w:right w:val="single" w:color="000000" w:sz="8" w:space="0"/>
            </w:tcBorders>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预期性</w:t>
            </w:r>
          </w:p>
        </w:tc>
      </w:tr>
    </w:tbl>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0"/>
        <w:rPr>
          <w:rFonts w:hint="default" w:ascii="方正黑体_GBK" w:hAnsi="方正黑体_GBK" w:eastAsia="方正黑体_GBK" w:cs="方正黑体_GBK"/>
          <w:b w:val="0"/>
          <w:bCs w:val="0"/>
          <w:kern w:val="2"/>
          <w:sz w:val="32"/>
          <w:szCs w:val="32"/>
          <w:lang w:val="en-US" w:eastAsia="zh-CN" w:bidi="ar-SA"/>
        </w:rPr>
      </w:pPr>
      <w:bookmarkStart w:id="6" w:name="_Toc499518075"/>
      <w:bookmarkStart w:id="7" w:name="_Toc22835"/>
      <w:bookmarkStart w:id="8" w:name="_Toc1235157065"/>
      <w:bookmarkStart w:id="9" w:name="_Toc1397005183"/>
      <w:r>
        <w:rPr>
          <w:rFonts w:hint="eastAsia" w:ascii="方正黑体_GBK" w:hAnsi="方正黑体_GBK" w:eastAsia="方正黑体_GBK" w:cs="方正黑体_GBK"/>
          <w:b w:val="0"/>
          <w:bCs w:val="0"/>
          <w:kern w:val="2"/>
          <w:sz w:val="32"/>
          <w:szCs w:val="32"/>
          <w:lang w:val="en-US" w:eastAsia="zh-CN" w:bidi="ar-SA"/>
        </w:rPr>
        <w:t>1区域概况</w:t>
      </w:r>
      <w:bookmarkEnd w:id="6"/>
      <w:bookmarkEnd w:id="7"/>
      <w:bookmarkEnd w:id="8"/>
      <w:bookmarkEnd w:id="9"/>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1"/>
        <w:rPr>
          <w:rFonts w:hint="eastAsia" w:ascii="方正仿宋_GBK" w:hAnsi="宋体" w:eastAsia="方正仿宋_GBK" w:cs="Times New Roman"/>
          <w:b/>
          <w:spacing w:val="6"/>
          <w:sz w:val="32"/>
          <w:szCs w:val="32"/>
        </w:rPr>
      </w:pPr>
      <w:bookmarkStart w:id="10" w:name="_Toc1451156485"/>
      <w:bookmarkStart w:id="11" w:name="_Toc17657"/>
      <w:bookmarkStart w:id="12" w:name="_Toc1338308896"/>
      <w:bookmarkStart w:id="13" w:name="_Toc2133052089"/>
      <w:r>
        <w:rPr>
          <w:rFonts w:hint="eastAsia" w:ascii="方正楷体_GBK" w:hAnsi="Times New Roman" w:eastAsia="方正楷体_GBK" w:cs="Times New Roman"/>
          <w:b w:val="0"/>
          <w:bCs w:val="0"/>
          <w:sz w:val="32"/>
          <w:szCs w:val="32"/>
        </w:rPr>
        <w:t>1.1自然地理概况</w:t>
      </w:r>
      <w:bookmarkEnd w:id="10"/>
      <w:bookmarkEnd w:id="11"/>
      <w:bookmarkEnd w:id="12"/>
      <w:bookmarkEnd w:id="13"/>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1"/>
        <w:rPr>
          <w:rFonts w:ascii="方正仿宋_GBK" w:hAnsi="宋体" w:eastAsia="方正仿宋_GBK" w:cs="Times New Roman"/>
          <w:b/>
          <w:spacing w:val="6"/>
          <w:sz w:val="32"/>
          <w:szCs w:val="32"/>
        </w:rPr>
      </w:pPr>
      <w:bookmarkStart w:id="14" w:name="_Toc204170426"/>
      <w:bookmarkStart w:id="15" w:name="_Toc711567310"/>
      <w:bookmarkStart w:id="16" w:name="_Toc1255898826"/>
      <w:r>
        <w:rPr>
          <w:rFonts w:hint="eastAsia" w:ascii="方正仿宋_GBK" w:hAnsi="宋体" w:eastAsia="方正仿宋_GBK" w:cs="Times New Roman"/>
          <w:b/>
          <w:spacing w:val="6"/>
          <w:sz w:val="32"/>
          <w:szCs w:val="32"/>
        </w:rPr>
        <w:t>1.1.1地理位置</w:t>
      </w:r>
      <w:bookmarkEnd w:id="14"/>
      <w:bookmarkEnd w:id="15"/>
      <w:bookmarkEnd w:id="16"/>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永川区地处四川盆地东南，重庆市西部，长江上游北岸，成渝两市陆路交通之要冲，地理位置为东经105°37′37″～106°05′06″，北纬28°56′16″～29°34′23″之间，东与璧山、江津，南与四川省泸县、合江，西与荣昌、大足，北与铜梁等七县（区）接壤，幅员面积1576km</w:t>
      </w:r>
      <w:r>
        <w:rPr>
          <w:rFonts w:hint="eastAsia" w:ascii="Times New Roman" w:hAnsi="Times New Roman" w:eastAsia="方正仿宋_GBK" w:cs="Times New Roman"/>
          <w:sz w:val="32"/>
          <w:szCs w:val="32"/>
          <w:vertAlign w:val="superscript"/>
        </w:rPr>
        <w:t>2</w:t>
      </w:r>
      <w:r>
        <w:rPr>
          <w:rFonts w:hint="eastAsia" w:ascii="Times New Roman" w:hAnsi="Times New Roman" w:eastAsia="方正仿宋_GBK" w:cs="Times New Roman"/>
          <w:sz w:val="32"/>
          <w:szCs w:val="32"/>
        </w:rPr>
        <w:t>。</w:t>
      </w:r>
    </w:p>
    <w:p>
      <w:pPr>
        <w:adjustRightInd w:val="0"/>
        <w:snapToGrid w:val="0"/>
        <w:spacing w:line="360" w:lineRule="auto"/>
        <w:jc w:val="center"/>
        <w:rPr>
          <w:rFonts w:ascii="宋体" w:hAnsi="宋体"/>
          <w:snapToGrid w:val="0"/>
          <w:kern w:val="0"/>
        </w:rPr>
      </w:pPr>
      <w:r>
        <w:rPr>
          <w:rFonts w:ascii="宋体" w:hAnsi="宋体"/>
        </w:rPr>
        <w:drawing>
          <wp:inline distT="0" distB="0" distL="114300" distR="114300">
            <wp:extent cx="5486400" cy="2409825"/>
            <wp:effectExtent l="0" t="0" r="0" b="9525"/>
            <wp:docPr id="5" name="图片 1" descr="11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descr="1111"/>
                    <pic:cNvPicPr>
                      <a:picLocks noChangeAspect="true"/>
                    </pic:cNvPicPr>
                  </pic:nvPicPr>
                  <pic:blipFill>
                    <a:blip r:embed="rId10"/>
                    <a:stretch>
                      <a:fillRect/>
                    </a:stretch>
                  </pic:blipFill>
                  <pic:spPr>
                    <a:xfrm>
                      <a:off x="0" y="0"/>
                      <a:ext cx="5486400" cy="2409825"/>
                    </a:xfrm>
                    <a:prstGeom prst="rect">
                      <a:avLst/>
                    </a:prstGeom>
                    <a:noFill/>
                    <a:ln>
                      <a:noFill/>
                    </a:ln>
                  </pic:spPr>
                </pic:pic>
              </a:graphicData>
            </a:graphic>
          </wp:inline>
        </w:drawing>
      </w:r>
    </w:p>
    <w:p>
      <w:pPr>
        <w:adjustRightInd w:val="0"/>
        <w:snapToGrid w:val="0"/>
        <w:spacing w:line="276" w:lineRule="auto"/>
        <w:ind w:firstLine="576" w:firstLineChars="200"/>
        <w:rPr>
          <w:rFonts w:ascii="Times New Roman" w:hAnsi="Times New Roman" w:eastAsia="方正仿宋_GBK" w:cs="Times New Roman"/>
          <w:spacing w:val="4"/>
          <w:sz w:val="28"/>
          <w:szCs w:val="24"/>
        </w:rPr>
      </w:pPr>
      <w:r>
        <w:rPr>
          <w:rFonts w:hint="eastAsia" w:ascii="Times New Roman" w:hAnsi="Times New Roman" w:eastAsia="方正仿宋_GBK" w:cs="Times New Roman"/>
          <w:spacing w:val="4"/>
          <w:sz w:val="28"/>
          <w:szCs w:val="24"/>
        </w:rPr>
        <w:t>图1.1-1 永川区在全国区位图     图1.1-2 永川区在重庆区位图</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rPr>
      </w:pPr>
      <w:r>
        <w:rPr>
          <w:rFonts w:hint="eastAsia" w:ascii="方正仿宋_GBK" w:hAnsi="宋体" w:eastAsia="方正仿宋_GBK" w:cs="Times New Roman"/>
          <w:b/>
          <w:spacing w:val="6"/>
          <w:sz w:val="32"/>
          <w:szCs w:val="32"/>
        </w:rPr>
        <w:t>1.1.2地形地貌</w:t>
      </w:r>
    </w:p>
    <w:p>
      <w:pPr>
        <w:keepNext w:val="0"/>
        <w:keepLines w:val="0"/>
        <w:pageBreakBefore w:val="0"/>
        <w:widowControl w:val="0"/>
        <w:kinsoku/>
        <w:wordWrap/>
        <w:overflowPunct/>
        <w:topLinePunct w:val="0"/>
        <w:autoSpaceDE/>
        <w:autoSpaceDN/>
        <w:bidi w:val="0"/>
        <w:adjustRightInd w:val="0"/>
        <w:snapToGrid w:val="0"/>
        <w:spacing w:line="300"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永川区地处川东平行岭谷的西南端，平行岭谷在这里作帚状散开，逐渐趋于倾没。地势北高南低。丘陵占全区总面积的70%以上，低山次之，山脉呈东西排列，南北走向分布。</w:t>
      </w:r>
    </w:p>
    <w:p>
      <w:pPr>
        <w:keepNext w:val="0"/>
        <w:keepLines w:val="0"/>
        <w:pageBreakBefore w:val="0"/>
        <w:widowControl w:val="0"/>
        <w:kinsoku/>
        <w:wordWrap/>
        <w:overflowPunct/>
        <w:topLinePunct w:val="0"/>
        <w:autoSpaceDE/>
        <w:autoSpaceDN/>
        <w:bidi w:val="0"/>
        <w:adjustRightInd w:val="0"/>
        <w:snapToGrid w:val="0"/>
        <w:spacing w:line="300"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地质构造：永川区隶属于新华夏系第三沉降带，川东南褶皱带的永川帚状褶皱束。境内呈北东～西南走向展布不对称的高幅度紧密褶皱。其特点是背斜窄，向斜宽，两翼不对称。</w:t>
      </w:r>
    </w:p>
    <w:p>
      <w:pPr>
        <w:keepNext w:val="0"/>
        <w:keepLines w:val="0"/>
        <w:pageBreakBefore w:val="0"/>
        <w:widowControl w:val="0"/>
        <w:kinsoku/>
        <w:wordWrap/>
        <w:overflowPunct/>
        <w:topLinePunct w:val="0"/>
        <w:autoSpaceDE/>
        <w:autoSpaceDN/>
        <w:bidi w:val="0"/>
        <w:adjustRightInd w:val="0"/>
        <w:snapToGrid w:val="0"/>
        <w:spacing w:line="300"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最高点在永川城区北面的箕山薄刀岭，最低点在境内南端松溉镇中河坝长江出境处。其地貌总特点是：东面云雾山、西面巴岳山、英山包围全境，箕山、黄瓜山直贯其中，五条背斜、中低山大致组成“川”字形岭群。三个向斜，板桥、来苏向斜是西南高、东北低，石庙向斜是中间高，南北低，经流水切割，向斜谷地多已地形倒置，形成各式丘陵地貌。按地貌形态及成因归划为浅丘、中丘、深丘、低山、中山五种类型。</w:t>
      </w:r>
    </w:p>
    <w:p>
      <w:pPr>
        <w:adjustRightInd w:val="0"/>
        <w:snapToGrid w:val="0"/>
        <w:jc w:val="left"/>
        <w:rPr>
          <w:rFonts w:ascii="宋体" w:hAnsi="宋体"/>
          <w:snapToGrid w:val="0"/>
          <w:kern w:val="0"/>
        </w:rPr>
      </w:pPr>
      <w:r>
        <w:rPr>
          <w:rFonts w:ascii="宋体" w:hAnsi="宋体"/>
        </w:rPr>
        <w:drawing>
          <wp:inline distT="0" distB="0" distL="114300" distR="114300">
            <wp:extent cx="2600325" cy="3762375"/>
            <wp:effectExtent l="0" t="0" r="9525" b="9525"/>
            <wp:docPr id="6" name="图片 2" descr="G:\水生态咨询部\项目 Projects\重庆永川区水生态文明城市建设实施方案\1.6 绘图 Graphics\GIS\map\高程.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 descr="G:\水生态咨询部\项目 Projects\重庆永川区水生态文明城市建设实施方案\1.6 绘图 Graphics\GIS\map\高程.jpg"/>
                    <pic:cNvPicPr>
                      <a:picLocks noChangeAspect="true"/>
                    </pic:cNvPicPr>
                  </pic:nvPicPr>
                  <pic:blipFill>
                    <a:blip r:embed="rId11"/>
                    <a:srcRect l="6929" t="6355" r="4756" b="5493"/>
                    <a:stretch>
                      <a:fillRect/>
                    </a:stretch>
                  </pic:blipFill>
                  <pic:spPr>
                    <a:xfrm>
                      <a:off x="0" y="0"/>
                      <a:ext cx="2600325" cy="3762375"/>
                    </a:xfrm>
                    <a:prstGeom prst="rect">
                      <a:avLst/>
                    </a:prstGeom>
                    <a:noFill/>
                    <a:ln>
                      <a:noFill/>
                    </a:ln>
                  </pic:spPr>
                </pic:pic>
              </a:graphicData>
            </a:graphic>
          </wp:inline>
        </w:drawing>
      </w:r>
      <w:r>
        <w:rPr>
          <w:rFonts w:hint="eastAsia" w:ascii="宋体" w:hAnsi="宋体"/>
        </w:rPr>
        <w:t xml:space="preserve"> </w:t>
      </w:r>
      <w:r>
        <w:rPr>
          <w:rFonts w:ascii="宋体" w:hAnsi="宋体"/>
        </w:rPr>
        <w:drawing>
          <wp:inline distT="0" distB="0" distL="114300" distR="114300">
            <wp:extent cx="2505075" cy="3762375"/>
            <wp:effectExtent l="0" t="0" r="9525" b="9525"/>
            <wp:docPr id="7" name="图片 3" descr="G:\水生态咨询部\项目 Projects\重庆永川区水生态文明城市建设实施方案\1.6 绘图 Graphics\GIS\map\坡向.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3" descr="G:\水生态咨询部\项目 Projects\重庆永川区水生态文明城市建设实施方案\1.6 绘图 Graphics\GIS\map\坡向.jpg"/>
                    <pic:cNvPicPr>
                      <a:picLocks noChangeAspect="true"/>
                    </pic:cNvPicPr>
                  </pic:nvPicPr>
                  <pic:blipFill>
                    <a:blip r:embed="rId12"/>
                    <a:srcRect l="6929" t="6355" r="7692" b="5493"/>
                    <a:stretch>
                      <a:fillRect/>
                    </a:stretch>
                  </pic:blipFill>
                  <pic:spPr>
                    <a:xfrm>
                      <a:off x="0" y="0"/>
                      <a:ext cx="2505075" cy="3762375"/>
                    </a:xfrm>
                    <a:prstGeom prst="rect">
                      <a:avLst/>
                    </a:prstGeom>
                    <a:noFill/>
                    <a:ln>
                      <a:noFill/>
                    </a:ln>
                  </pic:spPr>
                </pic:pic>
              </a:graphicData>
            </a:graphic>
          </wp:inline>
        </w:drawing>
      </w:r>
    </w:p>
    <w:p>
      <w:pPr>
        <w:adjustRightInd w:val="0"/>
        <w:snapToGrid w:val="0"/>
        <w:spacing w:line="240" w:lineRule="auto"/>
        <w:ind w:firstLine="576" w:firstLineChars="200"/>
        <w:rPr>
          <w:rFonts w:ascii="Times New Roman" w:hAnsi="Times New Roman" w:eastAsia="方正仿宋_GBK" w:cs="Times New Roman"/>
          <w:spacing w:val="4"/>
          <w:sz w:val="28"/>
          <w:szCs w:val="24"/>
        </w:rPr>
      </w:pPr>
      <w:r>
        <w:rPr>
          <w:rFonts w:hint="eastAsia" w:ascii="Times New Roman" w:hAnsi="Times New Roman" w:eastAsia="方正仿宋_GBK" w:cs="Times New Roman"/>
          <w:spacing w:val="4"/>
          <w:sz w:val="28"/>
          <w:szCs w:val="24"/>
        </w:rPr>
        <w:t>图1.1-3 永川区高程图          图1.1-4 永川区坡向图</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rPr>
      </w:pPr>
      <w:r>
        <w:rPr>
          <w:rFonts w:hint="eastAsia" w:ascii="方正仿宋_GBK" w:hAnsi="宋体" w:eastAsia="方正仿宋_GBK" w:cs="Times New Roman"/>
          <w:b/>
          <w:spacing w:val="6"/>
          <w:sz w:val="32"/>
          <w:szCs w:val="32"/>
        </w:rPr>
        <w:t>1.1.3气候特征</w:t>
      </w:r>
    </w:p>
    <w:p>
      <w:pPr>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永川区地处中亚热带湿润气候区，四季分明，雨量充沛，无霜期长，夏季日照多，冬季日照少，且早春霜雪少，夏热多伏旱，晚秋多阴雨，冬短少严寒等特点。</w:t>
      </w:r>
    </w:p>
    <w:p>
      <w:pPr>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城区有永川气象站，根据永川气象站1956-2019年气象资料统计：多年平均气温17.7℃，多年平均降雨量1044.7mm。年际降水变化大，最大年降水量为1442.9mm（1962年），最小年降雨量为711.6mm（1961年），降水年内分配不均，各季占年降水量的比例为：春季22.4％，夏季46.2％，秋季24.4％，冬季6％。多年平均蒸发量1061.7mm，多年平均相对湿度82％，多年平均风速1.5m/s，最大平均风速14.5m/s，风向NNW，瞬时最大风速26.0m/s（10级），发生在1974年7月31日，多年平均日照时数1248.2h。</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rPr>
      </w:pPr>
      <w:r>
        <w:rPr>
          <w:rFonts w:hint="eastAsia" w:ascii="方正仿宋_GBK" w:hAnsi="宋体" w:eastAsia="方正仿宋_GBK" w:cs="Times New Roman"/>
          <w:b/>
          <w:spacing w:val="6"/>
          <w:sz w:val="32"/>
          <w:szCs w:val="32"/>
        </w:rPr>
        <w:t>1.1.4河流水系</w:t>
      </w:r>
    </w:p>
    <w:p>
      <w:pPr>
        <w:pageBreakBefore w:val="0"/>
        <w:widowControl w:val="0"/>
        <w:kinsoku/>
        <w:wordWrap/>
        <w:overflowPunct/>
        <w:topLinePunct w:val="0"/>
        <w:autoSpaceDE/>
        <w:autoSpaceDN/>
        <w:bidi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永川区境内河流分属长上干、涪江两大水系，除长江横穿南端而过外，均为源头小河。永川区涉及流域面积大于1000km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的河流有长江、九龙河、小安溪；流域面积50-1000km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的河流有长上干水系的龙溪河、大陆溪、大河溪、临江河、圣水河、大竹溪；涪江水系的太平河、板桥河。</w:t>
      </w:r>
    </w:p>
    <w:p>
      <w:pPr>
        <w:pStyle w:val="31"/>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中心城区主要大小河道共有6条，干流为长江水系支流临江河，一级支流有玉屏河、跳蹬河、红旗河。二级支流有胜利河，在红旗小学汇入玉屏河。三级支流有萱花河在文曲路老法院旁汇入胜利河。临江河干流及其支流玉屏河、跳蹬河、红旗河、萱花河、胜利河穿城而过，将城区分割为数个板块。</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lang w:val="en-US" w:eastAsia="zh-CN"/>
        </w:rPr>
        <w:t>1.1.4.1</w:t>
      </w:r>
      <w:r>
        <w:rPr>
          <w:rFonts w:hint="eastAsia" w:ascii="方正仿宋_GBK" w:hAnsi="宋体" w:eastAsia="方正仿宋_GBK" w:cs="Times New Roman"/>
          <w:spacing w:val="6"/>
          <w:sz w:val="32"/>
          <w:szCs w:val="32"/>
        </w:rPr>
        <w:t>长江</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rPr>
        <w:t>长江在四川省合江县采溪口流入本区南部朱沱镇，</w:t>
      </w:r>
      <w:r>
        <w:rPr>
          <w:rFonts w:hint="eastAsia" w:ascii="方正仿宋_GBK" w:hAnsi="宋体" w:eastAsia="方正仿宋_GBK"/>
          <w:spacing w:val="6"/>
          <w:sz w:val="32"/>
          <w:szCs w:val="32"/>
        </w:rPr>
        <w:t>在松溉镇</w:t>
      </w:r>
      <w:r>
        <w:rPr>
          <w:rFonts w:ascii="方正仿宋_GBK" w:hAnsi="宋体" w:eastAsia="方正仿宋_GBK"/>
          <w:spacing w:val="6"/>
          <w:sz w:val="32"/>
          <w:szCs w:val="32"/>
        </w:rPr>
        <w:t>旗山村碾子坪社斗笠子沟</w:t>
      </w:r>
      <w:r>
        <w:rPr>
          <w:rFonts w:hint="eastAsia" w:ascii="方正仿宋_GBK" w:hAnsi="宋体" w:eastAsia="方正仿宋_GBK"/>
          <w:spacing w:val="6"/>
          <w:sz w:val="32"/>
          <w:szCs w:val="32"/>
        </w:rPr>
        <w:t>流出境内，境内干流长17.8km</w:t>
      </w:r>
      <w:r>
        <w:rPr>
          <w:rFonts w:hint="eastAsia" w:ascii="方正仿宋_GBK" w:hAnsi="宋体" w:eastAsia="方正仿宋_GBK" w:cs="Times New Roman"/>
          <w:spacing w:val="6"/>
          <w:sz w:val="32"/>
          <w:szCs w:val="32"/>
        </w:rPr>
        <w:t>，流域面积56.85km</w:t>
      </w:r>
      <w:r>
        <w:rPr>
          <w:rFonts w:hint="eastAsia" w:ascii="方正仿宋_GBK" w:hAnsi="宋体" w:eastAsia="方正仿宋_GBK" w:cs="Times New Roman"/>
          <w:spacing w:val="6"/>
          <w:sz w:val="32"/>
          <w:szCs w:val="32"/>
          <w:vertAlign w:val="superscript"/>
        </w:rPr>
        <w:t>2</w:t>
      </w:r>
      <w:r>
        <w:rPr>
          <w:rFonts w:hint="eastAsia" w:ascii="方正仿宋_GBK" w:hAnsi="宋体" w:eastAsia="方正仿宋_GBK" w:cs="Times New Roman"/>
          <w:spacing w:val="6"/>
          <w:sz w:val="32"/>
          <w:szCs w:val="32"/>
        </w:rPr>
        <w:t>。占全区幅员面积的3.61%。此段河道与北岸4条1级小河归属于长江北岸盆地水资源区。</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lang w:val="en-US" w:eastAsia="zh-CN"/>
        </w:rPr>
        <w:t>1.1.4.2</w:t>
      </w:r>
      <w:r>
        <w:rPr>
          <w:rFonts w:hint="eastAsia" w:ascii="方正仿宋_GBK" w:hAnsi="宋体" w:eastAsia="方正仿宋_GBK" w:cs="Times New Roman"/>
          <w:spacing w:val="6"/>
          <w:sz w:val="32"/>
          <w:szCs w:val="32"/>
        </w:rPr>
        <w:t>小安溪</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rPr>
        <w:t>小安溪发源于英山西北翼永荣镇白云寺村，抵合川区注入涪江，流域总面积1692km</w:t>
      </w:r>
      <w:r>
        <w:rPr>
          <w:rFonts w:hint="eastAsia" w:ascii="方正仿宋_GBK" w:hAnsi="宋体" w:eastAsia="方正仿宋_GBK" w:cs="Times New Roman"/>
          <w:spacing w:val="6"/>
          <w:sz w:val="32"/>
          <w:szCs w:val="32"/>
          <w:vertAlign w:val="superscript"/>
        </w:rPr>
        <w:t>2</w:t>
      </w:r>
      <w:r>
        <w:rPr>
          <w:rFonts w:hint="eastAsia" w:ascii="方正仿宋_GBK" w:hAnsi="宋体" w:eastAsia="方正仿宋_GBK" w:cs="Times New Roman"/>
          <w:spacing w:val="6"/>
          <w:sz w:val="32"/>
          <w:szCs w:val="32"/>
        </w:rPr>
        <w:t>，河道总长170km，自然落差259m，多年平均流量为5.43m</w:t>
      </w:r>
      <w:r>
        <w:rPr>
          <w:rFonts w:hint="eastAsia" w:ascii="方正仿宋_GBK" w:hAnsi="宋体" w:eastAsia="方正仿宋_GBK" w:cs="Times New Roman"/>
          <w:spacing w:val="6"/>
          <w:sz w:val="32"/>
          <w:szCs w:val="32"/>
          <w:vertAlign w:val="superscript"/>
        </w:rPr>
        <w:t>3</w:t>
      </w:r>
      <w:r>
        <w:rPr>
          <w:rFonts w:hint="eastAsia" w:ascii="方正仿宋_GBK" w:hAnsi="宋体" w:eastAsia="方正仿宋_GBK" w:cs="Times New Roman"/>
          <w:spacing w:val="6"/>
          <w:sz w:val="32"/>
          <w:szCs w:val="32"/>
        </w:rPr>
        <w:t>/s。区境内流域面积402km</w:t>
      </w:r>
      <w:r>
        <w:rPr>
          <w:rFonts w:hint="eastAsia" w:ascii="方正仿宋_GBK" w:hAnsi="宋体" w:eastAsia="方正仿宋_GBK" w:cs="Times New Roman"/>
          <w:spacing w:val="6"/>
          <w:sz w:val="32"/>
          <w:szCs w:val="32"/>
          <w:vertAlign w:val="superscript"/>
        </w:rPr>
        <w:t>2</w:t>
      </w:r>
      <w:r>
        <w:rPr>
          <w:rFonts w:hint="eastAsia" w:ascii="方正仿宋_GBK" w:hAnsi="宋体" w:eastAsia="方正仿宋_GBK" w:cs="Times New Roman"/>
          <w:spacing w:val="6"/>
          <w:sz w:val="32"/>
          <w:szCs w:val="32"/>
        </w:rPr>
        <w:t>，占全区幅员面积的25.51%，河道长67.2km，自然落差177m，比降2.72‰，主河道流经永荣镇、红炉镇、双石镇、胜利路办事处、三教镇至</w:t>
      </w:r>
      <w:bookmarkStart w:id="221" w:name="_GoBack"/>
      <w:bookmarkEnd w:id="221"/>
      <w:r>
        <w:rPr>
          <w:rFonts w:hint="eastAsia" w:ascii="方正仿宋_GBK" w:hAnsi="宋体" w:eastAsia="方正仿宋_GBK"/>
          <w:spacing w:val="6"/>
          <w:sz w:val="32"/>
          <w:szCs w:val="32"/>
        </w:rPr>
        <w:t>板桥镇双河桥（</w:t>
      </w:r>
      <w:r>
        <w:rPr>
          <w:rFonts w:ascii="方正仿宋_GBK" w:hAnsi="宋体" w:eastAsia="方正仿宋_GBK"/>
          <w:spacing w:val="6"/>
          <w:sz w:val="32"/>
          <w:szCs w:val="32"/>
        </w:rPr>
        <w:t>龙门滩村</w:t>
      </w:r>
      <w:r>
        <w:rPr>
          <w:rFonts w:hint="eastAsia" w:ascii="方正仿宋_GBK" w:hAnsi="宋体" w:eastAsia="方正仿宋_GBK"/>
          <w:spacing w:val="6"/>
          <w:sz w:val="32"/>
          <w:szCs w:val="32"/>
        </w:rPr>
        <w:t>）进入铜梁区境内</w:t>
      </w:r>
      <w:r>
        <w:rPr>
          <w:rFonts w:hint="eastAsia" w:ascii="方正仿宋_GBK" w:hAnsi="宋体" w:eastAsia="方正仿宋_GBK" w:cs="Times New Roman"/>
          <w:spacing w:val="6"/>
          <w:sz w:val="32"/>
          <w:szCs w:val="32"/>
        </w:rPr>
        <w:t>。河流源头至大涧口段落差大、河道窄、弯多、滩多、不能行船，大涧口以下河道落差较小，水流平缓，沿途建有船闸，可航行小木船和小型机动船。</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lang w:val="en-US" w:eastAsia="zh-CN"/>
        </w:rPr>
        <w:t>1.1.4.3</w:t>
      </w:r>
      <w:r>
        <w:rPr>
          <w:rFonts w:hint="eastAsia" w:ascii="方正仿宋_GBK" w:hAnsi="宋体" w:eastAsia="方正仿宋_GBK" w:cs="Times New Roman"/>
          <w:spacing w:val="6"/>
          <w:sz w:val="32"/>
          <w:szCs w:val="32"/>
        </w:rPr>
        <w:t>临江河</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rPr>
        <w:t>临江河发源于宝峰镇华家寺，境内流域面积556.48km</w:t>
      </w:r>
      <w:r>
        <w:rPr>
          <w:rFonts w:hint="eastAsia" w:ascii="方正仿宋_GBK" w:hAnsi="宋体" w:eastAsia="方正仿宋_GBK" w:cs="Times New Roman"/>
          <w:spacing w:val="6"/>
          <w:sz w:val="32"/>
          <w:szCs w:val="32"/>
          <w:vertAlign w:val="superscript"/>
        </w:rPr>
        <w:t>2</w:t>
      </w:r>
      <w:r>
        <w:rPr>
          <w:rFonts w:hint="eastAsia" w:ascii="方正仿宋_GBK" w:hAnsi="宋体" w:eastAsia="方正仿宋_GBK" w:cs="Times New Roman"/>
          <w:spacing w:val="6"/>
          <w:sz w:val="32"/>
          <w:szCs w:val="32"/>
        </w:rPr>
        <w:t>，占全区幅员面积的35.31%，河道全长72.8km，比降2.28‰，多年平均流量为6.35m</w:t>
      </w:r>
      <w:r>
        <w:rPr>
          <w:rFonts w:hint="eastAsia" w:ascii="方正仿宋_GBK" w:hAnsi="宋体" w:eastAsia="方正仿宋_GBK" w:cs="Times New Roman"/>
          <w:spacing w:val="6"/>
          <w:sz w:val="32"/>
          <w:szCs w:val="32"/>
          <w:vertAlign w:val="superscript"/>
        </w:rPr>
        <w:t>3</w:t>
      </w:r>
      <w:r>
        <w:rPr>
          <w:rFonts w:hint="eastAsia" w:ascii="方正仿宋_GBK" w:hAnsi="宋体" w:eastAsia="方正仿宋_GBK" w:cs="Times New Roman"/>
          <w:spacing w:val="6"/>
          <w:sz w:val="32"/>
          <w:szCs w:val="32"/>
        </w:rPr>
        <w:t>/s。主河道流经来苏镇、南大街、胜利路、中山路办事处、陈食街道、临江镇，在何埂镇两河口纳圣水河，后在聚美涵桥流入江津区境内至朱杨镇注入长江。整条河流流域内主要以农田耕地为主，水位变化大，部分河段受集镇生产生活污染，不能通航。</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lang w:val="en-US" w:eastAsia="zh-CN"/>
        </w:rPr>
        <w:t>1.1.4.4</w:t>
      </w:r>
      <w:r>
        <w:rPr>
          <w:rFonts w:hint="eastAsia" w:ascii="方正仿宋_GBK" w:hAnsi="宋体" w:eastAsia="方正仿宋_GBK" w:cs="Times New Roman"/>
          <w:spacing w:val="6"/>
          <w:sz w:val="32"/>
          <w:szCs w:val="32"/>
        </w:rPr>
        <w:t>九龙河</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rPr>
        <w:t>九龙河发源于箕山东南翼大安街道月耳塘，境内流域面积201.2km</w:t>
      </w:r>
      <w:r>
        <w:rPr>
          <w:rFonts w:hint="eastAsia" w:ascii="方正仿宋_GBK" w:hAnsi="宋体" w:eastAsia="方正仿宋_GBK" w:cs="Times New Roman"/>
          <w:spacing w:val="6"/>
          <w:sz w:val="32"/>
          <w:szCs w:val="32"/>
          <w:vertAlign w:val="superscript"/>
        </w:rPr>
        <w:t>2</w:t>
      </w:r>
      <w:r>
        <w:rPr>
          <w:rFonts w:hint="eastAsia" w:ascii="方正仿宋_GBK" w:hAnsi="宋体" w:eastAsia="方正仿宋_GBK" w:cs="Times New Roman"/>
          <w:spacing w:val="6"/>
          <w:sz w:val="32"/>
          <w:szCs w:val="32"/>
        </w:rPr>
        <w:t>，占全区幅员面积的12.77%，主河道长28.24km，比降4.75‰，多年平均流量为2.2m</w:t>
      </w:r>
      <w:r>
        <w:rPr>
          <w:rFonts w:hint="eastAsia" w:ascii="方正仿宋_GBK" w:hAnsi="宋体" w:eastAsia="方正仿宋_GBK" w:cs="Times New Roman"/>
          <w:spacing w:val="6"/>
          <w:sz w:val="32"/>
          <w:szCs w:val="32"/>
          <w:vertAlign w:val="superscript"/>
        </w:rPr>
        <w:t>3</w:t>
      </w:r>
      <w:r>
        <w:rPr>
          <w:rFonts w:hint="eastAsia" w:ascii="方正仿宋_GBK" w:hAnsi="宋体" w:eastAsia="方正仿宋_GBK" w:cs="Times New Roman"/>
          <w:spacing w:val="6"/>
          <w:sz w:val="32"/>
          <w:szCs w:val="32"/>
        </w:rPr>
        <w:t>/s。流经金龙镇、大安，在大安街道小拱桥村鸡公咀出境进入璧山区境内与璧山梅江河相汇合。</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lang w:val="en-US" w:eastAsia="zh-CN"/>
        </w:rPr>
        <w:t>1.1.4.5</w:t>
      </w:r>
      <w:r>
        <w:rPr>
          <w:rFonts w:hint="eastAsia" w:ascii="方正仿宋_GBK" w:hAnsi="宋体" w:eastAsia="方正仿宋_GBK" w:cs="Times New Roman"/>
          <w:spacing w:val="6"/>
          <w:sz w:val="32"/>
          <w:szCs w:val="32"/>
        </w:rPr>
        <w:t>大陆溪</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rPr>
        <w:t>大陆溪发源于黄瓜山北西翼吉安镇金门村，流经黄沙村向南流至寒泸村出境流入四川省泸县、合江县又进入本区的朱沱镇、松溉镇，在松溉镇大陆村注入长江。流域总面积455.4km</w:t>
      </w:r>
      <w:r>
        <w:rPr>
          <w:rFonts w:hint="eastAsia" w:ascii="方正仿宋_GBK" w:hAnsi="宋体" w:eastAsia="方正仿宋_GBK" w:cs="Times New Roman"/>
          <w:spacing w:val="6"/>
          <w:sz w:val="32"/>
          <w:szCs w:val="32"/>
          <w:vertAlign w:val="superscript"/>
        </w:rPr>
        <w:t>2</w:t>
      </w:r>
      <w:r>
        <w:rPr>
          <w:rFonts w:hint="eastAsia" w:ascii="方正仿宋_GBK" w:hAnsi="宋体" w:eastAsia="方正仿宋_GBK" w:cs="Times New Roman"/>
          <w:spacing w:val="6"/>
          <w:sz w:val="32"/>
          <w:szCs w:val="32"/>
        </w:rPr>
        <w:t>，河道总长66.1km，自然落差379m，多年平均流量为5.52m</w:t>
      </w:r>
      <w:r>
        <w:rPr>
          <w:rFonts w:hint="eastAsia" w:ascii="方正仿宋_GBK" w:hAnsi="宋体" w:eastAsia="方正仿宋_GBK" w:cs="Times New Roman"/>
          <w:spacing w:val="6"/>
          <w:sz w:val="32"/>
          <w:szCs w:val="32"/>
          <w:vertAlign w:val="superscript"/>
        </w:rPr>
        <w:t>3</w:t>
      </w:r>
      <w:r>
        <w:rPr>
          <w:rFonts w:hint="eastAsia" w:ascii="方正仿宋_GBK" w:hAnsi="宋体" w:eastAsia="方正仿宋_GBK" w:cs="Times New Roman"/>
          <w:spacing w:val="6"/>
          <w:sz w:val="32"/>
          <w:szCs w:val="32"/>
        </w:rPr>
        <w:t>/s。境内流域面积226km</w:t>
      </w:r>
      <w:r>
        <w:rPr>
          <w:rFonts w:hint="eastAsia" w:ascii="方正仿宋_GBK" w:hAnsi="宋体" w:eastAsia="方正仿宋_GBK" w:cs="Times New Roman"/>
          <w:spacing w:val="6"/>
          <w:sz w:val="32"/>
          <w:szCs w:val="32"/>
          <w:vertAlign w:val="superscript"/>
        </w:rPr>
        <w:t>2</w:t>
      </w:r>
      <w:r>
        <w:rPr>
          <w:rFonts w:hint="eastAsia" w:ascii="方正仿宋_GBK" w:hAnsi="宋体" w:eastAsia="方正仿宋_GBK" w:cs="Times New Roman"/>
          <w:spacing w:val="6"/>
          <w:sz w:val="32"/>
          <w:szCs w:val="32"/>
        </w:rPr>
        <w:t>，占全区幅员面积的14.34%，主河道长47.6km，比降3.57‰，整条河流流域内主要以农田耕地为主，滩多水急，水位变化大，部分河段受集镇生产生活污染，不能通航。</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lang w:val="en-US" w:eastAsia="zh-CN"/>
        </w:rPr>
        <w:t>1.1.4.6</w:t>
      </w:r>
      <w:r>
        <w:rPr>
          <w:rFonts w:hint="eastAsia" w:ascii="方正仿宋_GBK" w:hAnsi="宋体" w:eastAsia="方正仿宋_GBK" w:cs="Times New Roman"/>
          <w:spacing w:val="6"/>
          <w:sz w:val="32"/>
          <w:szCs w:val="32"/>
        </w:rPr>
        <w:t>龙溪河</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spacing w:val="6"/>
          <w:sz w:val="32"/>
          <w:szCs w:val="32"/>
        </w:rPr>
        <w:t>龙溪河发源于永川区宝峰泸永桥村</w:t>
      </w:r>
      <w:r>
        <w:rPr>
          <w:rFonts w:hint="eastAsia" w:ascii="方正仿宋_GBK" w:hAnsi="宋体" w:eastAsia="方正仿宋_GBK" w:cs="Times New Roman"/>
          <w:spacing w:val="6"/>
          <w:sz w:val="32"/>
          <w:szCs w:val="32"/>
        </w:rPr>
        <w:t>，境内流域面积33.75km</w:t>
      </w:r>
      <w:r>
        <w:rPr>
          <w:rFonts w:hint="eastAsia" w:ascii="方正仿宋_GBK" w:hAnsi="宋体" w:eastAsia="方正仿宋_GBK" w:cs="Times New Roman"/>
          <w:spacing w:val="6"/>
          <w:sz w:val="32"/>
          <w:szCs w:val="32"/>
          <w:vertAlign w:val="superscript"/>
        </w:rPr>
        <w:t>2</w:t>
      </w:r>
      <w:r>
        <w:rPr>
          <w:rFonts w:hint="eastAsia" w:ascii="方正仿宋_GBK" w:hAnsi="宋体" w:eastAsia="方正仿宋_GBK" w:cs="Times New Roman"/>
          <w:spacing w:val="6"/>
          <w:sz w:val="32"/>
          <w:szCs w:val="32"/>
        </w:rPr>
        <w:t>，占全区幅员面积的2.15%，主河道长7.9km。直接流入泸县境内。整条河流流域内主要以农田耕地为主，部分河段受集镇生产生活污染，不能通航。</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lang w:val="en-US" w:eastAsia="zh-CN"/>
        </w:rPr>
        <w:t>1.1.4.7</w:t>
      </w:r>
      <w:r>
        <w:rPr>
          <w:rFonts w:hint="eastAsia" w:ascii="方正仿宋_GBK" w:hAnsi="宋体" w:eastAsia="方正仿宋_GBK" w:cs="Times New Roman"/>
          <w:spacing w:val="6"/>
          <w:sz w:val="32"/>
          <w:szCs w:val="32"/>
        </w:rPr>
        <w:t>板桥河</w:t>
      </w:r>
    </w:p>
    <w:p>
      <w:pPr>
        <w:pageBreakBefore w:val="0"/>
        <w:widowControl w:val="0"/>
        <w:kinsoku/>
        <w:wordWrap/>
        <w:overflowPunct/>
        <w:topLinePunct w:val="0"/>
        <w:autoSpaceDE/>
        <w:autoSpaceDN/>
        <w:bidi w:val="0"/>
        <w:snapToGrid w:val="0"/>
        <w:spacing w:line="276" w:lineRule="auto"/>
        <w:ind w:firstLine="640" w:firstLineChars="200"/>
        <w:textAlignment w:val="auto"/>
        <w:outlineLvl w:val="9"/>
        <w:rPr>
          <w:rFonts w:ascii="方正仿宋_GBK" w:hAnsi="宋体" w:eastAsia="方正仿宋_GBK" w:cs="Times New Roman"/>
          <w:sz w:val="32"/>
          <w:szCs w:val="32"/>
        </w:rPr>
      </w:pPr>
      <w:r>
        <w:rPr>
          <w:rFonts w:hint="eastAsia" w:ascii="方正仿宋_GBK" w:hAnsi="宋体" w:eastAsia="方正仿宋_GBK" w:cs="Times New Roman"/>
          <w:sz w:val="32"/>
          <w:szCs w:val="32"/>
        </w:rPr>
        <w:t>板桥河为小安溪左岸支流，板桥河发源于三教镇陡沟河村，流经三教镇、花桥场、板桥镇，于板桥镇龙门滩村汇入小安溪，流域面积117.24km</w:t>
      </w:r>
      <w:r>
        <w:rPr>
          <w:rFonts w:hint="eastAsia" w:ascii="方正仿宋_GBK" w:hAnsi="宋体" w:eastAsia="方正仿宋_GBK" w:cs="Times New Roman"/>
          <w:spacing w:val="6"/>
          <w:sz w:val="32"/>
          <w:szCs w:val="32"/>
          <w:vertAlign w:val="superscript"/>
        </w:rPr>
        <w:t>2</w:t>
      </w:r>
      <w:r>
        <w:rPr>
          <w:rFonts w:hint="eastAsia" w:ascii="方正仿宋_GBK" w:hAnsi="宋体" w:eastAsia="方正仿宋_GBK" w:cs="Times New Roman"/>
          <w:sz w:val="32"/>
          <w:szCs w:val="32"/>
        </w:rPr>
        <w:t>，河道长34.4km，自然落差118m。</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lang w:val="en-US" w:eastAsia="zh-CN"/>
        </w:rPr>
        <w:t>1.1.4.8</w:t>
      </w:r>
      <w:r>
        <w:rPr>
          <w:rFonts w:hint="eastAsia" w:ascii="方正仿宋_GBK" w:hAnsi="宋体" w:eastAsia="方正仿宋_GBK" w:cs="Times New Roman"/>
          <w:spacing w:val="6"/>
          <w:sz w:val="32"/>
          <w:szCs w:val="32"/>
        </w:rPr>
        <w:t>圣水河</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napToGrid w:val="0"/>
          <w:spacing w:val="6"/>
          <w:kern w:val="0"/>
          <w:sz w:val="32"/>
          <w:szCs w:val="32"/>
        </w:rPr>
        <w:t>圣水河为临江河右岸支流，发源于仙龙西山丘，东偏北流过仙龙镇，入上游水库，出库后曲折东偏南流，过五间镇、何埂镇汇入临江河。圣水河河道全长29.48km，流域面积99.4km</w:t>
      </w:r>
      <w:r>
        <w:rPr>
          <w:rFonts w:hint="eastAsia" w:ascii="方正仿宋_GBK" w:hAnsi="宋体" w:eastAsia="方正仿宋_GBK" w:cs="Times New Roman"/>
          <w:snapToGrid w:val="0"/>
          <w:spacing w:val="6"/>
          <w:kern w:val="0"/>
          <w:sz w:val="32"/>
          <w:szCs w:val="32"/>
          <w:vertAlign w:val="superscript"/>
        </w:rPr>
        <w:t>2</w:t>
      </w:r>
      <w:r>
        <w:rPr>
          <w:rFonts w:hint="eastAsia" w:ascii="方正仿宋_GBK" w:hAnsi="宋体" w:eastAsia="方正仿宋_GBK" w:cs="Times New Roman"/>
          <w:sz w:val="32"/>
          <w:szCs w:val="32"/>
        </w:rPr>
        <w:t>，自然落差270.5m。</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lang w:val="en-US" w:eastAsia="zh-CN"/>
        </w:rPr>
        <w:t>1.1.4.9</w:t>
      </w:r>
      <w:r>
        <w:rPr>
          <w:rFonts w:hint="eastAsia" w:ascii="方正仿宋_GBK" w:hAnsi="宋体" w:eastAsia="方正仿宋_GBK" w:cs="Times New Roman"/>
          <w:spacing w:val="6"/>
          <w:sz w:val="32"/>
          <w:szCs w:val="32"/>
        </w:rPr>
        <w:t>太平河</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rPr>
        <w:t>太平河是小安溪左岸支流，又称双桥溪。该河发源于大足区双路镇篮子沟，南沿成渝铁路入永川区境内，折东过太平，左纳邓家岩沟后，与双石镇太平村汇入小安溪。太平河河长26.3km，流域面积91.21km</w:t>
      </w:r>
      <w:r>
        <w:rPr>
          <w:rFonts w:hint="eastAsia" w:ascii="方正仿宋_GBK" w:hAnsi="宋体" w:eastAsia="方正仿宋_GBK" w:cs="Times New Roman"/>
          <w:spacing w:val="6"/>
          <w:sz w:val="32"/>
          <w:szCs w:val="32"/>
          <w:vertAlign w:val="superscript"/>
        </w:rPr>
        <w:t>2</w:t>
      </w:r>
      <w:r>
        <w:rPr>
          <w:rFonts w:hint="eastAsia" w:ascii="方正仿宋_GBK" w:hAnsi="宋体" w:eastAsia="方正仿宋_GBK" w:cs="Times New Roman"/>
          <w:spacing w:val="6"/>
          <w:sz w:val="32"/>
          <w:szCs w:val="32"/>
        </w:rPr>
        <w:t>，自然落差87m。</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lang w:val="en-US" w:eastAsia="zh-CN"/>
        </w:rPr>
        <w:t>1.1.4.10</w:t>
      </w:r>
      <w:r>
        <w:rPr>
          <w:rFonts w:hint="eastAsia" w:ascii="方正仿宋_GBK" w:hAnsi="宋体" w:eastAsia="方正仿宋_GBK" w:cs="Times New Roman"/>
          <w:spacing w:val="6"/>
          <w:sz w:val="32"/>
          <w:szCs w:val="32"/>
        </w:rPr>
        <w:t>大竹溪</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rPr>
        <w:t>大竹溪为临江河右岸一级支流，发源于永川区吉安镇茯苓村六社，流经境内吉安镇、五间镇、南大街街道、卫星湖街道，于卫星湖街道高洞村三社汇入临江河。流域总面积86.09km</w:t>
      </w:r>
      <w:r>
        <w:rPr>
          <w:rFonts w:hint="eastAsia" w:ascii="方正仿宋_GBK" w:hAnsi="宋体" w:eastAsia="方正仿宋_GBK" w:cs="Times New Roman"/>
          <w:spacing w:val="6"/>
          <w:sz w:val="32"/>
          <w:szCs w:val="32"/>
          <w:vertAlign w:val="superscript"/>
        </w:rPr>
        <w:t>2</w:t>
      </w:r>
      <w:r>
        <w:rPr>
          <w:rFonts w:hint="eastAsia" w:ascii="方正仿宋_GBK" w:hAnsi="宋体" w:eastAsia="方正仿宋_GBK" w:cs="Times New Roman"/>
          <w:spacing w:val="6"/>
          <w:sz w:val="32"/>
          <w:szCs w:val="32"/>
        </w:rPr>
        <w:t>，河道总长26.44km，天然落差278.5m。</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lang w:val="en-US" w:eastAsia="zh-CN"/>
        </w:rPr>
        <w:t>1.1.4.11</w:t>
      </w:r>
      <w:r>
        <w:rPr>
          <w:rFonts w:hint="eastAsia" w:ascii="方正仿宋_GBK" w:hAnsi="宋体" w:eastAsia="方正仿宋_GBK" w:cs="Times New Roman"/>
          <w:spacing w:val="6"/>
          <w:sz w:val="32"/>
          <w:szCs w:val="32"/>
        </w:rPr>
        <w:t>大河溪</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rPr>
        <w:t>大河溪为大陆溪左岸支流，发源于永川区仙龙镇张家村，流经张家场、大河场，于大河场福主村汇入大陆溪，流域面积79.21km</w:t>
      </w:r>
      <w:r>
        <w:rPr>
          <w:rFonts w:hint="eastAsia" w:ascii="方正仿宋_GBK" w:hAnsi="宋体" w:eastAsia="方正仿宋_GBK" w:cs="Times New Roman"/>
          <w:spacing w:val="6"/>
          <w:sz w:val="32"/>
          <w:szCs w:val="32"/>
          <w:vertAlign w:val="superscript"/>
        </w:rPr>
        <w:t>2</w:t>
      </w:r>
      <w:r>
        <w:rPr>
          <w:rFonts w:hint="eastAsia" w:ascii="方正仿宋_GBK" w:hAnsi="宋体" w:eastAsia="方正仿宋_GBK" w:cs="Times New Roman"/>
          <w:spacing w:val="6"/>
          <w:sz w:val="32"/>
          <w:szCs w:val="32"/>
        </w:rPr>
        <w:t>，河道总长23.13km，天然落差163m。</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lang w:val="en-US" w:eastAsia="zh-CN"/>
        </w:rPr>
        <w:t>1.1.4.12</w:t>
      </w:r>
      <w:r>
        <w:rPr>
          <w:rFonts w:hint="eastAsia" w:ascii="方正仿宋_GBK" w:hAnsi="宋体" w:eastAsia="方正仿宋_GBK" w:cs="Times New Roman"/>
          <w:spacing w:val="6"/>
          <w:sz w:val="32"/>
          <w:szCs w:val="32"/>
        </w:rPr>
        <w:t>红旗河</w:t>
      </w:r>
    </w:p>
    <w:p>
      <w:pPr>
        <w:pageBreakBefore w:val="0"/>
        <w:widowControl w:val="0"/>
        <w:kinsoku/>
        <w:wordWrap/>
        <w:overflowPunct/>
        <w:topLinePunct w:val="0"/>
        <w:autoSpaceDE/>
        <w:autoSpaceDN/>
        <w:bidi w:val="0"/>
        <w:snapToGrid w:val="0"/>
        <w:spacing w:line="276" w:lineRule="auto"/>
        <w:ind w:firstLine="640" w:firstLineChars="200"/>
        <w:textAlignment w:val="auto"/>
        <w:outlineLvl w:val="9"/>
        <w:rPr>
          <w:rFonts w:ascii="方正仿宋_GBK" w:hAnsi="宋体" w:eastAsia="方正仿宋_GBK" w:cs="Times New Roman"/>
          <w:sz w:val="32"/>
          <w:szCs w:val="32"/>
        </w:rPr>
      </w:pPr>
      <w:r>
        <w:rPr>
          <w:rFonts w:hint="eastAsia" w:ascii="方正仿宋_GBK" w:hAnsi="宋体" w:eastAsia="方正仿宋_GBK" w:cs="Times New Roman"/>
          <w:sz w:val="32"/>
          <w:szCs w:val="32"/>
        </w:rPr>
        <w:t>红旗河属临江河左岸支流，河流方向为由北向南，该河发源于永川区天子店王家坡，在永川化工厂附近汇入临江河。河流总集雨面积29.40km</w:t>
      </w:r>
      <w:r>
        <w:rPr>
          <w:rFonts w:hint="eastAsia" w:ascii="方正仿宋_GBK" w:hAnsi="宋体" w:eastAsia="方正仿宋_GBK" w:cs="Times New Roman"/>
          <w:spacing w:val="6"/>
          <w:sz w:val="32"/>
          <w:szCs w:val="32"/>
          <w:vertAlign w:val="superscript"/>
        </w:rPr>
        <w:t>2</w:t>
      </w:r>
      <w:r>
        <w:rPr>
          <w:rFonts w:hint="eastAsia" w:ascii="方正仿宋_GBK" w:hAnsi="宋体" w:eastAsia="方正仿宋_GBK" w:cs="Times New Roman"/>
          <w:sz w:val="32"/>
          <w:szCs w:val="32"/>
        </w:rPr>
        <w:t>，河流总长15.09km。流域内主河槽呈长条形，地势北高南低，河谷较宽阔。</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lang w:val="en-US" w:eastAsia="zh-CN"/>
        </w:rPr>
        <w:t>1.1.4.13</w:t>
      </w:r>
      <w:r>
        <w:rPr>
          <w:rFonts w:hint="eastAsia" w:ascii="方正仿宋_GBK" w:hAnsi="宋体" w:eastAsia="方正仿宋_GBK" w:cs="Times New Roman"/>
          <w:spacing w:val="6"/>
          <w:sz w:val="32"/>
          <w:szCs w:val="32"/>
        </w:rPr>
        <w:t>跳蹬河</w:t>
      </w:r>
    </w:p>
    <w:p>
      <w:pPr>
        <w:pageBreakBefore w:val="0"/>
        <w:widowControl w:val="0"/>
        <w:kinsoku/>
        <w:wordWrap/>
        <w:overflowPunct/>
        <w:topLinePunct w:val="0"/>
        <w:autoSpaceDE/>
        <w:autoSpaceDN/>
        <w:bidi w:val="0"/>
        <w:snapToGrid w:val="0"/>
        <w:spacing w:line="276" w:lineRule="auto"/>
        <w:ind w:firstLine="640"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z w:val="32"/>
          <w:szCs w:val="32"/>
        </w:rPr>
        <w:t>跳蹬河为临江河左岸支流，发源于永川区土地坳，河流由北向南流，经张家桥、观音堂至石梁桥，河流在李家院子高速桥进入主城区，最后于三岔河汇入临江河。跳蹬河全流域面积为16.78km</w:t>
      </w:r>
      <w:r>
        <w:rPr>
          <w:rFonts w:hint="eastAsia" w:ascii="方正仿宋_GBK" w:hAnsi="宋体" w:eastAsia="方正仿宋_GBK" w:cs="Times New Roman"/>
          <w:sz w:val="32"/>
          <w:szCs w:val="32"/>
          <w:vertAlign w:val="superscript"/>
        </w:rPr>
        <w:t>2</w:t>
      </w:r>
      <w:r>
        <w:rPr>
          <w:rFonts w:hint="eastAsia" w:ascii="方正仿宋_GBK" w:hAnsi="宋体" w:eastAsia="方正仿宋_GBK" w:cs="Times New Roman"/>
          <w:sz w:val="32"/>
          <w:szCs w:val="32"/>
        </w:rPr>
        <w:t>，河道全长12.5km，</w:t>
      </w:r>
      <w:r>
        <w:rPr>
          <w:rFonts w:hint="eastAsia" w:ascii="方正仿宋_GBK" w:hAnsi="宋体" w:eastAsia="方正仿宋_GBK" w:cs="Times New Roman"/>
          <w:spacing w:val="6"/>
          <w:sz w:val="32"/>
          <w:szCs w:val="32"/>
        </w:rPr>
        <w:t>天然落差290m</w:t>
      </w:r>
      <w:r>
        <w:rPr>
          <w:rFonts w:hint="eastAsia" w:ascii="方正仿宋_GBK" w:hAnsi="宋体" w:eastAsia="方正仿宋_GBK" w:cs="Times New Roman"/>
          <w:sz w:val="32"/>
          <w:szCs w:val="32"/>
        </w:rPr>
        <w:t>。</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lang w:val="en-US" w:eastAsia="zh-CN"/>
        </w:rPr>
        <w:t>1.1.4.14</w:t>
      </w:r>
      <w:r>
        <w:rPr>
          <w:rFonts w:hint="eastAsia" w:ascii="方正仿宋_GBK" w:hAnsi="宋体" w:eastAsia="方正仿宋_GBK" w:cs="Times New Roman"/>
          <w:spacing w:val="6"/>
          <w:sz w:val="32"/>
          <w:szCs w:val="32"/>
        </w:rPr>
        <w:t>玉屏河</w:t>
      </w:r>
    </w:p>
    <w:p>
      <w:pPr>
        <w:pageBreakBefore w:val="0"/>
        <w:widowControl w:val="0"/>
        <w:kinsoku/>
        <w:wordWrap/>
        <w:overflowPunct/>
        <w:topLinePunct w:val="0"/>
        <w:autoSpaceDE/>
        <w:autoSpaceDN/>
        <w:bidi w:val="0"/>
        <w:snapToGrid w:val="0"/>
        <w:spacing w:line="276" w:lineRule="auto"/>
        <w:ind w:firstLine="640" w:firstLineChars="200"/>
        <w:textAlignment w:val="auto"/>
        <w:outlineLvl w:val="9"/>
        <w:rPr>
          <w:rFonts w:ascii="方正仿宋_GBK" w:hAnsi="宋体" w:eastAsia="方正仿宋_GBK" w:cs="Times New Roman"/>
          <w:sz w:val="32"/>
          <w:szCs w:val="32"/>
        </w:rPr>
      </w:pPr>
      <w:r>
        <w:rPr>
          <w:rFonts w:hint="eastAsia" w:ascii="方正仿宋_GBK" w:hAnsi="宋体" w:eastAsia="方正仿宋_GBK" w:cs="Times New Roman"/>
          <w:sz w:val="32"/>
          <w:szCs w:val="32"/>
        </w:rPr>
        <w:t>玉屏河为临江河左岸支流，发源于永川区中山路办事处水井湾，河流由北向南流，经桐子湾、大面河至蛇山，至狮子桥，下穿成渝高速公路昌州大道进入主城区，在三岔河汇入临江河。玉屏河全流域面积为17.99km</w:t>
      </w:r>
      <w:r>
        <w:rPr>
          <w:rFonts w:hint="eastAsia" w:ascii="方正仿宋_GBK" w:hAnsi="宋体" w:eastAsia="方正仿宋_GBK" w:cs="Times New Roman"/>
          <w:sz w:val="32"/>
          <w:szCs w:val="32"/>
          <w:vertAlign w:val="superscript"/>
        </w:rPr>
        <w:t>2</w:t>
      </w:r>
      <w:r>
        <w:rPr>
          <w:rFonts w:hint="eastAsia" w:ascii="方正仿宋_GBK" w:hAnsi="宋体" w:eastAsia="方正仿宋_GBK" w:cs="Times New Roman"/>
          <w:sz w:val="32"/>
          <w:szCs w:val="32"/>
        </w:rPr>
        <w:t>，河道全长5.71km，天然落差303m。</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lang w:val="en-US" w:eastAsia="zh-CN"/>
        </w:rPr>
        <w:t>1.1.4.15</w:t>
      </w:r>
      <w:r>
        <w:rPr>
          <w:rFonts w:hint="eastAsia" w:ascii="方正仿宋_GBK" w:hAnsi="宋体" w:eastAsia="方正仿宋_GBK" w:cs="Times New Roman"/>
          <w:spacing w:val="6"/>
          <w:sz w:val="32"/>
          <w:szCs w:val="32"/>
        </w:rPr>
        <w:t>胜利河</w:t>
      </w:r>
    </w:p>
    <w:p>
      <w:pPr>
        <w:keepNext w:val="0"/>
        <w:keepLines w:val="0"/>
        <w:pageBreakBefore w:val="0"/>
        <w:widowControl w:val="0"/>
        <w:kinsoku/>
        <w:wordWrap/>
        <w:overflowPunct/>
        <w:topLinePunct w:val="0"/>
        <w:autoSpaceDE/>
        <w:autoSpaceDN/>
        <w:bidi w:val="0"/>
        <w:adjustRightInd/>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rPr>
        <w:t>胜利河是玉屏河右岸一级支流，发源于胜利路谭家沟，河流由西向东流入城区，于五板桥上游汇入玉屏河，</w:t>
      </w:r>
      <w:r>
        <w:rPr>
          <w:rFonts w:hint="eastAsia" w:ascii="方正仿宋_GBK" w:hAnsi="宋体" w:eastAsia="方正仿宋_GBK" w:cs="Times New Roman"/>
          <w:sz w:val="32"/>
          <w:szCs w:val="32"/>
        </w:rPr>
        <w:t>全流域面积为9.38km</w:t>
      </w:r>
      <w:r>
        <w:rPr>
          <w:rFonts w:hint="eastAsia" w:ascii="方正仿宋_GBK" w:hAnsi="宋体" w:eastAsia="方正仿宋_GBK" w:cs="Times New Roman"/>
          <w:sz w:val="32"/>
          <w:szCs w:val="32"/>
          <w:vertAlign w:val="superscript"/>
        </w:rPr>
        <w:t>2</w:t>
      </w:r>
      <w:r>
        <w:rPr>
          <w:rFonts w:hint="eastAsia" w:ascii="方正仿宋_GBK" w:hAnsi="宋体" w:eastAsia="方正仿宋_GBK" w:cs="Times New Roman"/>
          <w:sz w:val="32"/>
          <w:szCs w:val="32"/>
        </w:rPr>
        <w:t>，河道全长3.62km，天然落差57m。</w:t>
      </w:r>
    </w:p>
    <w:p>
      <w:pPr>
        <w:pageBreakBefore w:val="0"/>
        <w:widowControl w:val="0"/>
        <w:kinsoku/>
        <w:wordWrap/>
        <w:overflowPunct/>
        <w:topLinePunct w:val="0"/>
        <w:autoSpaceDE/>
        <w:autoSpaceDN/>
        <w:bidi w:val="0"/>
        <w:snapToGrid w:val="0"/>
        <w:spacing w:line="276" w:lineRule="auto"/>
        <w:ind w:firstLine="664" w:firstLineChars="200"/>
        <w:textAlignment w:val="auto"/>
        <w:outlineLvl w:val="9"/>
        <w:rPr>
          <w:rFonts w:ascii="方正仿宋_GBK" w:hAnsi="宋体" w:eastAsia="方正仿宋_GBK" w:cs="Times New Roman"/>
          <w:spacing w:val="6"/>
          <w:sz w:val="32"/>
          <w:szCs w:val="32"/>
        </w:rPr>
      </w:pPr>
      <w:r>
        <w:rPr>
          <w:rFonts w:hint="eastAsia" w:ascii="方正仿宋_GBK" w:hAnsi="宋体" w:eastAsia="方正仿宋_GBK" w:cs="Times New Roman"/>
          <w:spacing w:val="6"/>
          <w:sz w:val="32"/>
          <w:szCs w:val="32"/>
          <w:lang w:val="en-US" w:eastAsia="zh-CN"/>
        </w:rPr>
        <w:t>1.1.4.16</w:t>
      </w:r>
      <w:r>
        <w:rPr>
          <w:rFonts w:hint="eastAsia" w:ascii="方正仿宋_GBK" w:hAnsi="宋体" w:eastAsia="方正仿宋_GBK" w:cs="Times New Roman"/>
          <w:spacing w:val="6"/>
          <w:sz w:val="32"/>
          <w:szCs w:val="32"/>
        </w:rPr>
        <w:t>萱花河</w:t>
      </w:r>
    </w:p>
    <w:p>
      <w:pPr>
        <w:pStyle w:val="31"/>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cs="Times New Roman"/>
          <w:sz w:val="32"/>
          <w:szCs w:val="32"/>
        </w:rPr>
        <w:t>萱花河是胜利河一级支流，河流方向为由北向南，该河发源于箕山东南麓萱花寺，下游经美食街暗河汇入胜利河。流域面积为3.73km</w:t>
      </w:r>
      <w:r>
        <w:rPr>
          <w:rFonts w:hint="eastAsia" w:ascii="方正仿宋_GBK" w:hAnsi="宋体" w:eastAsia="方正仿宋_GBK" w:cs="Times New Roman"/>
          <w:sz w:val="32"/>
          <w:szCs w:val="32"/>
          <w:vertAlign w:val="superscript"/>
        </w:rPr>
        <w:t>2</w:t>
      </w:r>
      <w:r>
        <w:rPr>
          <w:rFonts w:hint="eastAsia" w:ascii="方正仿宋_GBK" w:hAnsi="宋体" w:eastAsia="方正仿宋_GBK" w:cs="Times New Roman"/>
          <w:sz w:val="32"/>
          <w:szCs w:val="32"/>
        </w:rPr>
        <w:t>，河道全长3.4km，天然落差313m。</w:t>
      </w:r>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7" w:name="_Toc1632293260"/>
      <w:bookmarkStart w:id="18" w:name="_Toc21779"/>
      <w:bookmarkStart w:id="19" w:name="_Toc138264236"/>
      <w:bookmarkStart w:id="20" w:name="_Toc150814537"/>
      <w:r>
        <w:rPr>
          <w:rFonts w:hint="eastAsia" w:ascii="方正楷体_GBK" w:hAnsi="Times New Roman" w:eastAsia="方正楷体_GBK" w:cs="Times New Roman"/>
          <w:b w:val="0"/>
          <w:bCs w:val="0"/>
          <w:sz w:val="32"/>
          <w:szCs w:val="32"/>
          <w:lang w:val="en-US" w:eastAsia="zh-CN"/>
        </w:rPr>
        <w:t>1.2社会经济概况</w:t>
      </w:r>
      <w:bookmarkEnd w:id="17"/>
      <w:bookmarkEnd w:id="18"/>
      <w:bookmarkEnd w:id="19"/>
      <w:bookmarkEnd w:id="20"/>
    </w:p>
    <w:p>
      <w:pPr>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2020年是决胜全面建成小康社会、决战脱贫攻坚之年。面对突如其来的疫情，在区委区政府的坚强领导下，全区上下积极统筹推进疫情防控和经济社会发展，全力推动复工复产，全年经济总量突破千亿，经济呈现稳定向好态势，高质量发展动能不断增强，人民获得感幸福感安全感持续提升。</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1.2.1综合</w:t>
      </w:r>
    </w:p>
    <w:p>
      <w:pPr>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经重庆市统计局初步核定，全区地区生产总值1012.4亿元，按可比价计算，比上年增长4.6%。第一产业增加值77.9亿元，比上年增长4.0%。第二产业增加值541.5亿元，比上年增长5.7%。其中，工业增加值419.2亿元，比上年增长6.1%。第三产业增加值393.0亿元，比上年增长3.2%。三次产业结构由2019年的7.1:52.6:40.3调整为7.7:53.5:38.8。</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rPr>
      </w:pPr>
      <w:r>
        <w:rPr>
          <w:rFonts w:hint="eastAsia" w:ascii="方正仿宋_GBK" w:hAnsi="宋体" w:eastAsia="方正仿宋_GBK" w:cs="Times New Roman"/>
          <w:b/>
          <w:spacing w:val="6"/>
          <w:sz w:val="32"/>
          <w:szCs w:val="32"/>
          <w:lang w:val="en-US" w:eastAsia="zh-CN"/>
        </w:rPr>
        <w:t>1.2.2</w:t>
      </w:r>
      <w:r>
        <w:rPr>
          <w:rFonts w:hint="eastAsia" w:ascii="方正仿宋_GBK" w:hAnsi="宋体" w:eastAsia="方正仿宋_GBK" w:cs="Times New Roman"/>
          <w:b/>
          <w:spacing w:val="6"/>
          <w:sz w:val="32"/>
          <w:szCs w:val="32"/>
        </w:rPr>
        <w:t>农业</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全区粮食作物播种面积98.0万亩，比上年增长0.9%。油料播种面积18.2万亩，比上年增长0.1%。蔬菜播种面积43.1万亩，比上年增长1.1%。</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粮食总产量48.1万吨，比上年增长1.0%。蔬菜产量74.2万吨，比上年增长4.0%。水果产量14.75万吨，比上年增长10.1%。水产品产量4.5万吨，比上年增长2.8%。油料作物2.6万吨，比上年增长5.5%。出栏生猪27.0万头，比上年下降37.0%。出栏牛4769头，比上年增长5.4%。出栏羊7.9万头，比上年下降2.8%。出栏家禽1933万只，比上年增长11.1%。猪肉产量2.05万吨，比上年下降36.4%。牛肉产量629吨，比上年增长4.0%。羊肉产量1193吨，比上年下降2.1%。禽肉产量3.0万吨，比上年增长11.6%。</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农业总产值114.5亿元，按可比价计算，比上年增长4.6%。其中，种植业实现产值67.2亿元，比上年增长6.7%;林业实现产值4.0亿元，比上年增长8.3%;畜牧业实现产值34.3亿元，比上年增长0.5%;渔业实现产值7.8亿元，比上年增长8.7%;农林牧渔专业及辅助性活动实现产值1.2亿元，比上年增长6.9%。</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1.2.3工业和建筑业</w:t>
      </w:r>
    </w:p>
    <w:p>
      <w:pPr>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全区规模以上工业企业373家，实现增加值389.0亿元，比上年增长6.1%;实现产值1300.6亿元，比上年增长10.1%。产值1-5亿元的企业123家，实现产值286.2亿元;5-10亿元企业56家，实现产值398.1亿元;10亿元以上企业28家，实现产值541.5亿元。产业园区规模以上工业企业产值1108.0亿元，比上年增长12.7%。</w:t>
      </w:r>
    </w:p>
    <w:p>
      <w:pPr>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规模以上工业企业营业收入比上年增长9.9%。利润总额比上年增长1.5%，利税总额比上年下降3.2%。产品销售率98.2%。规上工业全员劳动生产率409537元/人。</w:t>
      </w:r>
    </w:p>
    <w:p>
      <w:pPr>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全区共有建筑业联网直报企业135家。其中，施工总承包一级资质企业9家，施工总承包二级资质企业33家，施工总承包三级资质企业67家。建筑业注册地总产值比上年增长10.8%。建筑业税收收入6.9亿元，比上年增长5.1%。</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1.2.4城市建设</w:t>
      </w:r>
    </w:p>
    <w:p>
      <w:pPr>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全区商品房施工面积700万平方米，比上年下降0.9%。竣工面积83.3万平方米，比上年下降6.2%。商品房销售面积200.4万平方米，比上年增长5.6%。其中，住宅销售面积181.9万平方米，比上年增长6.9%。商品房销售额118.4亿元，比上年增长8.4%。其中，住宅销售额109.1亿元，比上年增长10.2%。</w:t>
      </w:r>
    </w:p>
    <w:p>
      <w:pPr>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新增建成区绿化覆盖面积35.0万平方米，城区绿地率38.7%，绿化覆盖率40.5%，人均公共绿地面积22.6平方米。新建车行道11.1公里，新建人行道8.3万平方米。</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1.2.5环境</w:t>
      </w:r>
    </w:p>
    <w:p>
      <w:pPr>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全区森林覆盖率达50.5%。空气质量优良天数达298天。城市集中式饮用水源地水质达标率 100%；镇</w:t>
      </w:r>
      <w:r>
        <w:rPr>
          <w:rFonts w:hint="eastAsia" w:ascii="方正仿宋_GBK" w:hAnsi="宋体" w:eastAsia="方正仿宋_GBK"/>
          <w:sz w:val="32"/>
          <w:szCs w:val="32"/>
          <w:lang w:eastAsia="zh-CN"/>
        </w:rPr>
        <w:t>街</w:t>
      </w:r>
      <w:r>
        <w:rPr>
          <w:rFonts w:hint="eastAsia" w:ascii="方正仿宋_GBK" w:hAnsi="宋体" w:eastAsia="方正仿宋_GBK"/>
          <w:sz w:val="32"/>
          <w:szCs w:val="32"/>
        </w:rPr>
        <w:t>集中式饮用水水源地水质达标率92.9%。城镇生活垃圾无害化处理率100%，农村生活垃圾有效治理率95%。</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1.2.6人口</w:t>
      </w:r>
    </w:p>
    <w:p>
      <w:pPr>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户籍人口114.1万人。其中，男性57.5万人，女性56.6万人。城镇人口51.9万人。人口自然增长率-0.21‰。人口出生率7.8‰，出生人数8343人。死亡率8.0‰，死亡人数8562人。出生婴儿男女性别比1.1:1。</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1.2.7人民生活</w:t>
      </w:r>
    </w:p>
    <w:p>
      <w:pPr>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全区居民人均可支配收入36321元，比上年增长6.7%。其中，城镇常住居民人均可支配收入42218元，比上年增长5.3%。城镇居民人均消费性支出25308元，比上年增长6.1%。其中，食品消费支出占人均消费性支出的比重为33.9%。农村常住居民人均可支配收入21694元，比上年增长8.1%。农民人均总支出28549元，比上年增长4.4%。其中，生产费用支出6540元，占人均总支出的22.9%，生活消费支出16225元，占人均总支出的56.8%。</w:t>
      </w:r>
    </w:p>
    <w:p>
      <w:pPr>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城镇居民人均居住住房建筑面积为36.6平方米，比上年增加2.2%。年末农村居民人均居住住房建筑面积51.8平方米，比上年增加2.4%。</w:t>
      </w:r>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21" w:name="_Toc1224290387"/>
      <w:bookmarkStart w:id="22" w:name="_Toc1460059037"/>
      <w:bookmarkStart w:id="23" w:name="_Toc31214"/>
      <w:bookmarkStart w:id="24" w:name="_Toc885808423"/>
      <w:r>
        <w:rPr>
          <w:rFonts w:hint="eastAsia" w:ascii="方正楷体_GBK" w:hAnsi="Times New Roman" w:eastAsia="方正楷体_GBK" w:cs="Times New Roman"/>
          <w:b w:val="0"/>
          <w:bCs w:val="0"/>
          <w:sz w:val="32"/>
          <w:szCs w:val="32"/>
          <w:lang w:val="en-US" w:eastAsia="zh-CN"/>
        </w:rPr>
        <w:t>1.3水资源及其开发利用现状</w:t>
      </w:r>
      <w:bookmarkEnd w:id="21"/>
      <w:bookmarkEnd w:id="22"/>
      <w:bookmarkEnd w:id="23"/>
      <w:bookmarkEnd w:id="24"/>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1.3.1现状水资源量</w:t>
      </w:r>
    </w:p>
    <w:p>
      <w:pPr>
        <w:pageBreakBefore w:val="0"/>
        <w:widowControl w:val="0"/>
        <w:kinsoku/>
        <w:wordWrap/>
        <w:overflowPunct/>
        <w:topLinePunct w:val="0"/>
        <w:autoSpaceDE/>
        <w:autoSpaceDN/>
        <w:bidi w:val="0"/>
        <w:snapToGrid w:val="0"/>
        <w:spacing w:line="276" w:lineRule="auto"/>
        <w:ind w:firstLine="640" w:firstLineChars="200"/>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1.3.1.1地表水资源量</w:t>
      </w:r>
    </w:p>
    <w:p>
      <w:pPr>
        <w:keepNext w:val="0"/>
        <w:keepLines w:val="0"/>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永川境内已有长系列实测资料的水文站较少，仅有小安溪双石桥水文站一个，邻域大足有赖溪河玉滩水文站，</w:t>
      </w:r>
      <w:r>
        <w:rPr>
          <w:rFonts w:hint="eastAsia" w:ascii="方正仿宋_GBK" w:hAnsi="宋体" w:eastAsia="方正仿宋_GBK"/>
          <w:sz w:val="32"/>
          <w:szCs w:val="32"/>
          <w:lang w:eastAsia="zh-CN"/>
        </w:rPr>
        <w:t>璧山</w:t>
      </w:r>
      <w:r>
        <w:rPr>
          <w:rFonts w:hint="eastAsia" w:ascii="方正仿宋_GBK" w:hAnsi="宋体" w:eastAsia="方正仿宋_GBK"/>
          <w:sz w:val="32"/>
          <w:szCs w:val="32"/>
        </w:rPr>
        <w:t>有南河河边水文站。对永川区而言，具有代表性较好的水文站为双石桥水文站。</w:t>
      </w:r>
    </w:p>
    <w:p>
      <w:pPr>
        <w:keepNext w:val="0"/>
        <w:keepLines w:val="0"/>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双石桥水文站1973年～2017年径流系列按水利年（4月～次年3月）</w:t>
      </w:r>
      <w:r>
        <w:rPr>
          <w:rFonts w:ascii="方正仿宋_GBK" w:hAnsi="宋体" w:eastAsia="方正仿宋_GBK"/>
          <w:sz w:val="32"/>
          <w:szCs w:val="32"/>
        </w:rPr>
        <w:t>，</w:t>
      </w:r>
      <w:r>
        <w:rPr>
          <w:rFonts w:hint="eastAsia" w:ascii="方正仿宋_GBK" w:hAnsi="宋体" w:eastAsia="方正仿宋_GBK"/>
          <w:sz w:val="32"/>
          <w:szCs w:val="32"/>
        </w:rPr>
        <w:t>丰水期（4月～10月）</w:t>
      </w:r>
      <w:r>
        <w:rPr>
          <w:rFonts w:ascii="方正仿宋_GBK" w:hAnsi="宋体" w:eastAsia="方正仿宋_GBK"/>
          <w:sz w:val="32"/>
          <w:szCs w:val="32"/>
        </w:rPr>
        <w:t>，</w:t>
      </w:r>
      <w:r>
        <w:rPr>
          <w:rFonts w:hint="eastAsia" w:ascii="方正仿宋_GBK" w:hAnsi="宋体" w:eastAsia="方正仿宋_GBK"/>
          <w:sz w:val="32"/>
          <w:szCs w:val="32"/>
        </w:rPr>
        <w:t>枯水期（11月～次年3月）分别进行统计</w:t>
      </w:r>
      <w:r>
        <w:rPr>
          <w:rFonts w:ascii="方正仿宋_GBK" w:hAnsi="宋体" w:eastAsia="方正仿宋_GBK"/>
          <w:sz w:val="32"/>
          <w:szCs w:val="32"/>
        </w:rPr>
        <w:t>，</w:t>
      </w:r>
      <w:r>
        <w:rPr>
          <w:rFonts w:hint="eastAsia" w:ascii="方正仿宋_GBK" w:hAnsi="宋体" w:eastAsia="方正仿宋_GBK"/>
          <w:sz w:val="32"/>
          <w:szCs w:val="32"/>
        </w:rPr>
        <w:t>经频率计算</w:t>
      </w:r>
      <w:r>
        <w:rPr>
          <w:rFonts w:ascii="方正仿宋_GBK" w:hAnsi="宋体" w:eastAsia="方正仿宋_GBK"/>
          <w:sz w:val="32"/>
          <w:szCs w:val="32"/>
        </w:rPr>
        <w:t>，</w:t>
      </w:r>
      <w:r>
        <w:rPr>
          <w:rFonts w:hint="eastAsia" w:ascii="方正仿宋_GBK" w:hAnsi="宋体" w:eastAsia="方正仿宋_GBK"/>
          <w:sz w:val="32"/>
          <w:szCs w:val="32"/>
        </w:rPr>
        <w:t>采用P-Ⅲ型曲线适线确定统计参数，双石桥水文站多年平均流量3.45m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/s，多年平均径流深457.66mm。根据双石桥水文站实测径流资料，结合降雨修正系数，计算永川区地表水资源量总量为7.19亿m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snapToGrid w:val="0"/>
        <w:spacing w:line="276" w:lineRule="auto"/>
        <w:ind w:firstLine="640" w:firstLineChars="200"/>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1.3.1.2地下水资源量</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地下水调查的方法是通过各代表站基流分割法获取逐年地下水径流量，以多年平均地下水径流深与多年平均面雨深分析入渗系数，从而建立降水与地下径流关系（与降水径流关系的应用相类似），据各代表站的降水与地下径流关系</w:t>
      </w:r>
      <w:r>
        <w:rPr>
          <w:rFonts w:ascii="方正仿宋_GBK" w:hAnsi="宋体" w:eastAsia="方正仿宋_GBK"/>
          <w:sz w:val="32"/>
          <w:szCs w:val="32"/>
        </w:rPr>
        <w:t>,在相应适用的区域推求地下水径流量。</w:t>
      </w:r>
      <w:r>
        <w:rPr>
          <w:rFonts w:hint="eastAsia" w:ascii="方正仿宋_GBK" w:hAnsi="宋体" w:eastAsia="方正仿宋_GBK"/>
          <w:sz w:val="32"/>
          <w:szCs w:val="32"/>
        </w:rPr>
        <w:t>降水入渗补给模数M=13.4万m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，降水入渗径流深hλ=134.0mm，降水入渗补给系数μ=Wλ/W降=3292/25382=0.130，经计算全区地下水资源总量2.11亿m</w:t>
      </w:r>
      <w:r>
        <w:rPr>
          <w:rFonts w:ascii="方正仿宋_GBK" w:hAnsi="宋体" w:eastAsia="方正仿宋_GBK"/>
          <w:sz w:val="32"/>
          <w:szCs w:val="32"/>
          <w:vertAlign w:val="superscript"/>
        </w:rPr>
        <w:t>3</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snapToGrid w:val="0"/>
        <w:spacing w:line="276" w:lineRule="auto"/>
        <w:ind w:firstLine="640" w:firstLineChars="200"/>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1.3.1.3 过境水资源总量</w:t>
      </w:r>
    </w:p>
    <w:p>
      <w:pPr>
        <w:pageBreakBefore w:val="0"/>
        <w:widowControl w:val="0"/>
        <w:kinsoku/>
        <w:wordWrap/>
        <w:overflowPunct/>
        <w:topLinePunct w:val="0"/>
        <w:autoSpaceDE/>
        <w:autoSpaceDN/>
        <w:bidi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永川区境内长江从境南流过，过境水量十分丰富，但由于地理位置低，除淞溉长江提水4200万m</w:t>
      </w:r>
      <w:r>
        <w:rPr>
          <w:rFonts w:hint="eastAsia" w:ascii="宋体" w:hAnsi="宋体" w:eastAsia="宋体" w:cs="宋体"/>
          <w:sz w:val="32"/>
          <w:szCs w:val="32"/>
        </w:rPr>
        <w:t>³</w:t>
      </w:r>
      <w:r>
        <w:rPr>
          <w:rFonts w:hint="eastAsia" w:ascii="方正仿宋_GBK" w:hAnsi="宋体" w:eastAsia="方正仿宋_GBK"/>
          <w:sz w:val="32"/>
          <w:szCs w:val="32"/>
        </w:rPr>
        <w:t>/年，沿途场镇生活用水，农田灌溉提取很少水量，基本上是进多少、出多少。除此之外，境内仅有几条源头小河，小安溪在永川区境河口以上，控制流域面积495.8km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，其中境内控制流域面积402km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，境外控制集雨面积93.8km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。大陆溪穿行于永川与泸县之间，在境内松溉汇入长江，河口以上控制流域面积429.0km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，其中永川区境内控制流域面积226km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，境外203.0km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，两条河流用水高峰期，基本无水出入境，汛期除工程拦截少许水量外，其余水量基本流入下游。两条河流因流域面积小，入境出境均无水文测站，一般采用定性分析，定量估算，年供水量约500万m</w:t>
      </w:r>
      <w:r>
        <w:rPr>
          <w:rFonts w:hint="eastAsia" w:ascii="宋体" w:hAnsi="宋体" w:eastAsia="宋体" w:cs="宋体"/>
          <w:sz w:val="32"/>
          <w:szCs w:val="32"/>
        </w:rPr>
        <w:t>³</w:t>
      </w:r>
      <w:r>
        <w:rPr>
          <w:rFonts w:hint="eastAsia" w:ascii="方正仿宋_GBK" w:hAnsi="宋体" w:eastAsia="方正仿宋_GBK"/>
          <w:sz w:val="32"/>
          <w:szCs w:val="32"/>
        </w:rPr>
        <w:t>。其余河流均属源头小河，无客水流入。</w:t>
      </w:r>
    </w:p>
    <w:p>
      <w:pPr>
        <w:pageBreakBefore w:val="0"/>
        <w:widowControl w:val="0"/>
        <w:kinsoku/>
        <w:wordWrap/>
        <w:overflowPunct/>
        <w:topLinePunct w:val="0"/>
        <w:autoSpaceDE/>
        <w:autoSpaceDN/>
        <w:bidi w:val="0"/>
        <w:snapToGrid w:val="0"/>
        <w:spacing w:line="276" w:lineRule="auto"/>
        <w:ind w:firstLine="640" w:firstLineChars="200"/>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1.3.1.4水资源总量</w:t>
      </w:r>
    </w:p>
    <w:p>
      <w:pPr>
        <w:pageBreakBefore w:val="0"/>
        <w:widowControl w:val="0"/>
        <w:kinsoku/>
        <w:wordWrap/>
        <w:overflowPunct/>
        <w:topLinePunct w:val="0"/>
        <w:autoSpaceDE/>
        <w:autoSpaceDN/>
        <w:bidi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永川区现状水资源总量为地表水与可利用过境水量之和。经计算，永川区现状水资源总量为7.19亿m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1.3.2水资源开发利用情况</w:t>
      </w:r>
    </w:p>
    <w:p>
      <w:pPr>
        <w:pageBreakBefore w:val="0"/>
        <w:widowControl w:val="0"/>
        <w:kinsoku/>
        <w:wordWrap/>
        <w:overflowPunct/>
        <w:topLinePunct w:val="0"/>
        <w:autoSpaceDE/>
        <w:autoSpaceDN/>
        <w:bidi w:val="0"/>
        <w:snapToGrid w:val="0"/>
        <w:spacing w:line="276" w:lineRule="auto"/>
        <w:ind w:firstLine="640" w:firstLineChars="200"/>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1.3.2.1现状水利设施</w:t>
      </w:r>
    </w:p>
    <w:p>
      <w:pPr>
        <w:pageBreakBefore w:val="0"/>
        <w:widowControl w:val="0"/>
        <w:kinsoku/>
        <w:wordWrap/>
        <w:overflowPunct/>
        <w:topLinePunct w:val="0"/>
        <w:autoSpaceDE/>
        <w:autoSpaceDN/>
        <w:bidi w:val="0"/>
        <w:adjustRightInd w:val="0"/>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在对现有供水设施的工程布局、供水能力、供水任务及供水对象、运行状况，以及水资源开发程度与存在问题等综合调查分析的基础上，进行现状水利工程可供水量分析。对蓄水工程可供水量主要根据工程来水状况、工程规模、配套工程情况、供水任务等确定各类不同规模蓄水工程复蓄系数，然后用兴利库容乘复蓄系数估算可供水量。对引提水工程则根据取水口的径流量、引提水工程能力及供水对象的需水要求等计算可供水量。</w:t>
      </w:r>
    </w:p>
    <w:p>
      <w:pPr>
        <w:pageBreakBefore w:val="0"/>
        <w:widowControl w:val="0"/>
        <w:kinsoku/>
        <w:wordWrap/>
        <w:overflowPunct/>
        <w:topLinePunct w:val="0"/>
        <w:autoSpaceDE/>
        <w:autoSpaceDN/>
        <w:bidi w:val="0"/>
        <w:snapToGrid w:val="0"/>
        <w:spacing w:line="240" w:lineRule="auto"/>
        <w:ind w:firstLine="640" w:firstLineChars="200"/>
        <w:textAlignment w:val="auto"/>
        <w:outlineLvl w:val="9"/>
        <w:rPr>
          <w:rFonts w:hint="eastAsia" w:ascii="方正仿宋_GBK" w:hAnsi="Times New Roman" w:eastAsia="方正仿宋_GBK"/>
          <w:sz w:val="32"/>
          <w:szCs w:val="32"/>
        </w:rPr>
      </w:pPr>
      <w:r>
        <w:rPr>
          <w:rFonts w:hint="eastAsia" w:ascii="方正仿宋_GBK" w:hAnsi="Times New Roman" w:eastAsia="方正仿宋_GBK"/>
          <w:sz w:val="32"/>
          <w:szCs w:val="32"/>
        </w:rPr>
        <w:t>永川区现已经用于供水任务的水源工程共计25910处，其中：中型水库4座，小（1）型29座，小（2）型104座，山坪塘12939口，</w:t>
      </w:r>
      <w:r>
        <w:rPr>
          <w:sz w:val="32"/>
          <w:szCs w:val="32"/>
        </w:rPr>
        <w:fldChar w:fldCharType="begin"/>
      </w:r>
      <w:r>
        <w:rPr>
          <w:sz w:val="32"/>
          <w:szCs w:val="32"/>
        </w:rPr>
        <w:instrText xml:space="preserve"> HYPERLINK "http://baike.baidu.com/view/1853630.htm" \t "_blank" </w:instrText>
      </w:r>
      <w:r>
        <w:rPr>
          <w:sz w:val="32"/>
          <w:szCs w:val="32"/>
        </w:rPr>
        <w:fldChar w:fldCharType="separate"/>
      </w:r>
      <w:r>
        <w:rPr>
          <w:rFonts w:hint="eastAsia" w:ascii="方正仿宋_GBK" w:hAnsi="Times New Roman" w:eastAsia="方正仿宋_GBK"/>
          <w:sz w:val="32"/>
          <w:szCs w:val="32"/>
        </w:rPr>
        <w:t>石河堰</w:t>
      </w:r>
      <w:r>
        <w:rPr>
          <w:rFonts w:hint="eastAsia" w:ascii="方正仿宋_GBK" w:hAnsi="Times New Roman" w:eastAsia="方正仿宋_GBK"/>
          <w:sz w:val="32"/>
          <w:szCs w:val="32"/>
        </w:rPr>
        <w:fldChar w:fldCharType="end"/>
      </w:r>
      <w:r>
        <w:rPr>
          <w:rFonts w:hint="eastAsia" w:ascii="方正仿宋_GBK" w:hAnsi="Times New Roman" w:eastAsia="方正仿宋_GBK"/>
          <w:sz w:val="32"/>
          <w:szCs w:val="32"/>
        </w:rPr>
        <w:t>517道，提水泵站591处（包括松溉长江提水工程），引水工程43处；机井5653口。另有水窖、水池等微型水利工程6030处。另金鼎寺水库、石梁桥水库、南瓜山水库、牛王沟水库在建。现状供水能力3.43亿m</w:t>
      </w:r>
      <w:r>
        <w:rPr>
          <w:rFonts w:hint="eastAsia" w:ascii="方正仿宋_GBK" w:hAnsi="Times New Roman" w:eastAsia="方正仿宋_GBK"/>
          <w:sz w:val="32"/>
          <w:szCs w:val="32"/>
          <w:vertAlign w:val="superscript"/>
        </w:rPr>
        <w:t>3</w:t>
      </w:r>
      <w:r>
        <w:rPr>
          <w:rFonts w:hint="eastAsia" w:ascii="方正仿宋_GBK" w:hAnsi="Times New Roman" w:eastAsia="方正仿宋_GBK"/>
          <w:sz w:val="32"/>
          <w:szCs w:val="32"/>
        </w:rPr>
        <w:t>。</w:t>
      </w:r>
    </w:p>
    <w:p>
      <w:pPr>
        <w:keepNext w:val="0"/>
        <w:keepLines w:val="0"/>
        <w:pageBreakBefore w:val="0"/>
        <w:widowControl w:val="0"/>
        <w:kinsoku/>
        <w:wordWrap/>
        <w:overflowPunct/>
        <w:topLinePunct w:val="0"/>
        <w:autoSpaceDE/>
        <w:autoSpaceDN/>
        <w:bidi w:val="0"/>
        <w:snapToGrid w:val="0"/>
        <w:spacing w:beforeLines="0" w:afterLines="0" w:line="264" w:lineRule="auto"/>
        <w:jc w:val="center"/>
        <w:textAlignment w:val="auto"/>
        <w:rPr>
          <w:rFonts w:hint="eastAsia" w:ascii="方正楷体_GBK" w:hAnsi="方正楷体_GBK" w:eastAsia="方正楷体_GBK" w:cs="方正楷体_GBK"/>
          <w:sz w:val="30"/>
          <w:szCs w:val="30"/>
        </w:rPr>
      </w:pPr>
      <w:r>
        <w:rPr>
          <w:rFonts w:hint="eastAsia" w:ascii="方正楷体_GBK" w:hAnsi="方正楷体_GBK" w:eastAsia="方正楷体_GBK" w:cs="方正楷体_GBK"/>
          <w:sz w:val="30"/>
          <w:szCs w:val="30"/>
        </w:rPr>
        <w:t xml:space="preserve">表1.3-1 </w:t>
      </w:r>
      <w:r>
        <w:rPr>
          <w:rFonts w:hint="eastAsia" w:ascii="方正楷体_GBK" w:hAnsi="方正楷体_GBK" w:eastAsia="方正楷体_GBK" w:cs="方正楷体_GBK"/>
          <w:sz w:val="30"/>
          <w:szCs w:val="30"/>
          <w:lang w:val="en" w:eastAsia="zh-CN"/>
        </w:rPr>
        <w:t xml:space="preserve"> </w:t>
      </w:r>
      <w:r>
        <w:rPr>
          <w:rFonts w:hint="eastAsia" w:ascii="方正楷体_GBK" w:hAnsi="方正楷体_GBK" w:eastAsia="方正楷体_GBK" w:cs="方正楷体_GBK"/>
          <w:sz w:val="30"/>
          <w:szCs w:val="30"/>
        </w:rPr>
        <w:t>永川区现状已供水工程情况表</w:t>
      </w:r>
    </w:p>
    <w:tbl>
      <w:tblPr>
        <w:tblStyle w:val="17"/>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10"/>
        <w:gridCol w:w="779"/>
        <w:gridCol w:w="779"/>
        <w:gridCol w:w="779"/>
        <w:gridCol w:w="779"/>
        <w:gridCol w:w="779"/>
        <w:gridCol w:w="916"/>
        <w:gridCol w:w="642"/>
        <w:gridCol w:w="663"/>
        <w:gridCol w:w="750"/>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1310" w:type="dxa"/>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分区</w:t>
            </w:r>
          </w:p>
        </w:tc>
        <w:tc>
          <w:tcPr>
            <w:tcW w:w="779" w:type="dxa"/>
            <w:noWrap w:val="0"/>
            <w:vAlign w:val="center"/>
          </w:tcPr>
          <w:p>
            <w:pPr>
              <w:widowControl w:val="0"/>
              <w:adjustRightInd w:val="0"/>
              <w:snapToGrid w:val="0"/>
              <w:spacing w:line="240" w:lineRule="auto"/>
              <w:jc w:val="center"/>
              <w:textAlignment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中型</w:t>
            </w:r>
          </w:p>
        </w:tc>
        <w:tc>
          <w:tcPr>
            <w:tcW w:w="779" w:type="dxa"/>
            <w:noWrap w:val="0"/>
            <w:vAlign w:val="center"/>
          </w:tcPr>
          <w:p>
            <w:pPr>
              <w:widowControl w:val="0"/>
              <w:adjustRightInd w:val="0"/>
              <w:snapToGrid w:val="0"/>
              <w:spacing w:line="240" w:lineRule="auto"/>
              <w:jc w:val="center"/>
              <w:textAlignment w:val="center"/>
              <w:rPr>
                <w:rFonts w:hint="eastAsia" w:ascii="方正黑体_GBK" w:hAnsi="方正黑体_GBK" w:eastAsia="方正黑体_GBK" w:cs="方正黑体_GBK"/>
                <w:spacing w:val="-17"/>
                <w:kern w:val="0"/>
                <w:sz w:val="21"/>
                <w:szCs w:val="21"/>
              </w:rPr>
            </w:pPr>
            <w:r>
              <w:rPr>
                <w:rFonts w:hint="eastAsia" w:ascii="方正黑体_GBK" w:hAnsi="方正黑体_GBK" w:eastAsia="方正黑体_GBK" w:cs="方正黑体_GBK"/>
                <w:spacing w:val="-17"/>
                <w:kern w:val="0"/>
                <w:sz w:val="21"/>
                <w:szCs w:val="21"/>
              </w:rPr>
              <w:t>小（1）型</w:t>
            </w:r>
          </w:p>
        </w:tc>
        <w:tc>
          <w:tcPr>
            <w:tcW w:w="779" w:type="dxa"/>
            <w:noWrap w:val="0"/>
            <w:vAlign w:val="center"/>
          </w:tcPr>
          <w:p>
            <w:pPr>
              <w:widowControl w:val="0"/>
              <w:adjustRightInd w:val="0"/>
              <w:snapToGrid w:val="0"/>
              <w:spacing w:line="240" w:lineRule="auto"/>
              <w:jc w:val="center"/>
              <w:textAlignment w:val="center"/>
              <w:rPr>
                <w:rFonts w:hint="eastAsia" w:ascii="方正黑体_GBK" w:hAnsi="方正黑体_GBK" w:eastAsia="方正黑体_GBK" w:cs="方正黑体_GBK"/>
                <w:spacing w:val="-17"/>
                <w:kern w:val="0"/>
                <w:sz w:val="21"/>
                <w:szCs w:val="21"/>
              </w:rPr>
            </w:pPr>
            <w:r>
              <w:rPr>
                <w:rFonts w:hint="eastAsia" w:ascii="方正黑体_GBK" w:hAnsi="方正黑体_GBK" w:eastAsia="方正黑体_GBK" w:cs="方正黑体_GBK"/>
                <w:spacing w:val="-17"/>
                <w:kern w:val="0"/>
                <w:sz w:val="21"/>
                <w:szCs w:val="21"/>
              </w:rPr>
              <w:t>小（2）型</w:t>
            </w:r>
          </w:p>
        </w:tc>
        <w:tc>
          <w:tcPr>
            <w:tcW w:w="779" w:type="dxa"/>
            <w:noWrap w:val="0"/>
            <w:vAlign w:val="center"/>
          </w:tcPr>
          <w:p>
            <w:pPr>
              <w:widowControl w:val="0"/>
              <w:adjustRightInd w:val="0"/>
              <w:snapToGrid w:val="0"/>
              <w:spacing w:line="240" w:lineRule="auto"/>
              <w:jc w:val="center"/>
              <w:textAlignment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山坪塘</w:t>
            </w:r>
          </w:p>
        </w:tc>
        <w:tc>
          <w:tcPr>
            <w:tcW w:w="779" w:type="dxa"/>
            <w:noWrap w:val="0"/>
            <w:vAlign w:val="center"/>
          </w:tcPr>
          <w:p>
            <w:pPr>
              <w:widowControl w:val="0"/>
              <w:adjustRightInd w:val="0"/>
              <w:snapToGrid w:val="0"/>
              <w:spacing w:line="240" w:lineRule="auto"/>
              <w:jc w:val="center"/>
              <w:textAlignment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石河堰</w:t>
            </w:r>
          </w:p>
        </w:tc>
        <w:tc>
          <w:tcPr>
            <w:tcW w:w="916" w:type="dxa"/>
            <w:noWrap w:val="0"/>
            <w:vAlign w:val="center"/>
          </w:tcPr>
          <w:p>
            <w:pPr>
              <w:widowControl w:val="0"/>
              <w:adjustRightInd w:val="0"/>
              <w:snapToGrid w:val="0"/>
              <w:spacing w:line="240" w:lineRule="auto"/>
              <w:jc w:val="center"/>
              <w:textAlignment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提水泵站</w:t>
            </w:r>
          </w:p>
        </w:tc>
        <w:tc>
          <w:tcPr>
            <w:tcW w:w="642" w:type="dxa"/>
            <w:noWrap w:val="0"/>
            <w:vAlign w:val="center"/>
          </w:tcPr>
          <w:p>
            <w:pPr>
              <w:widowControl w:val="0"/>
              <w:adjustRightInd w:val="0"/>
              <w:snapToGrid w:val="0"/>
              <w:spacing w:line="240" w:lineRule="auto"/>
              <w:jc w:val="center"/>
              <w:textAlignment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引水</w:t>
            </w:r>
          </w:p>
        </w:tc>
        <w:tc>
          <w:tcPr>
            <w:tcW w:w="663" w:type="dxa"/>
            <w:noWrap w:val="0"/>
            <w:vAlign w:val="center"/>
          </w:tcPr>
          <w:p>
            <w:pPr>
              <w:widowControl w:val="0"/>
              <w:adjustRightInd w:val="0"/>
              <w:snapToGrid w:val="0"/>
              <w:spacing w:line="240" w:lineRule="auto"/>
              <w:jc w:val="center"/>
              <w:textAlignment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机井</w:t>
            </w:r>
          </w:p>
        </w:tc>
        <w:tc>
          <w:tcPr>
            <w:tcW w:w="750" w:type="dxa"/>
            <w:noWrap w:val="0"/>
            <w:vAlign w:val="center"/>
          </w:tcPr>
          <w:p>
            <w:pPr>
              <w:widowControl w:val="0"/>
              <w:adjustRightInd w:val="0"/>
              <w:snapToGrid w:val="0"/>
              <w:spacing w:line="240" w:lineRule="auto"/>
              <w:jc w:val="center"/>
              <w:textAlignment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其他</w:t>
            </w:r>
          </w:p>
        </w:tc>
        <w:tc>
          <w:tcPr>
            <w:tcW w:w="924" w:type="dxa"/>
            <w:noWrap w:val="0"/>
            <w:vAlign w:val="center"/>
          </w:tcPr>
          <w:p>
            <w:pPr>
              <w:widowControl w:val="0"/>
              <w:adjustRightInd w:val="0"/>
              <w:snapToGrid w:val="0"/>
              <w:spacing w:line="240" w:lineRule="auto"/>
              <w:ind w:right="53" w:rightChars="25"/>
              <w:jc w:val="center"/>
              <w:textAlignment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131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小安溪片区</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0</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7</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26</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5921</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83</w:t>
            </w:r>
          </w:p>
        </w:tc>
        <w:tc>
          <w:tcPr>
            <w:tcW w:w="916"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130</w:t>
            </w:r>
          </w:p>
        </w:tc>
        <w:tc>
          <w:tcPr>
            <w:tcW w:w="642"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6</w:t>
            </w:r>
          </w:p>
        </w:tc>
        <w:tc>
          <w:tcPr>
            <w:tcW w:w="663"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2252</w:t>
            </w:r>
          </w:p>
        </w:tc>
        <w:tc>
          <w:tcPr>
            <w:tcW w:w="75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1810</w:t>
            </w:r>
          </w:p>
        </w:tc>
        <w:tc>
          <w:tcPr>
            <w:tcW w:w="924"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131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临江河片区</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14</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43</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3873</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250</w:t>
            </w:r>
          </w:p>
        </w:tc>
        <w:tc>
          <w:tcPr>
            <w:tcW w:w="916"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192</w:t>
            </w:r>
          </w:p>
        </w:tc>
        <w:tc>
          <w:tcPr>
            <w:tcW w:w="642"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18</w:t>
            </w:r>
          </w:p>
        </w:tc>
        <w:tc>
          <w:tcPr>
            <w:tcW w:w="663"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765</w:t>
            </w:r>
          </w:p>
        </w:tc>
        <w:tc>
          <w:tcPr>
            <w:tcW w:w="75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2275</w:t>
            </w:r>
          </w:p>
        </w:tc>
        <w:tc>
          <w:tcPr>
            <w:tcW w:w="924"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7434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131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九龙河片区</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0</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12</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1439</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142</w:t>
            </w:r>
          </w:p>
        </w:tc>
        <w:tc>
          <w:tcPr>
            <w:tcW w:w="916"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175</w:t>
            </w:r>
          </w:p>
        </w:tc>
        <w:tc>
          <w:tcPr>
            <w:tcW w:w="642"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11</w:t>
            </w:r>
          </w:p>
        </w:tc>
        <w:tc>
          <w:tcPr>
            <w:tcW w:w="663"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1257</w:t>
            </w:r>
          </w:p>
        </w:tc>
        <w:tc>
          <w:tcPr>
            <w:tcW w:w="75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844</w:t>
            </w:r>
          </w:p>
        </w:tc>
        <w:tc>
          <w:tcPr>
            <w:tcW w:w="924"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131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大陆溪片区</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0</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8</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1302</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30</w:t>
            </w:r>
          </w:p>
        </w:tc>
        <w:tc>
          <w:tcPr>
            <w:tcW w:w="916"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72</w:t>
            </w:r>
          </w:p>
        </w:tc>
        <w:tc>
          <w:tcPr>
            <w:tcW w:w="642"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6</w:t>
            </w:r>
          </w:p>
        </w:tc>
        <w:tc>
          <w:tcPr>
            <w:tcW w:w="663"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1090</w:t>
            </w:r>
          </w:p>
        </w:tc>
        <w:tc>
          <w:tcPr>
            <w:tcW w:w="75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844</w:t>
            </w:r>
          </w:p>
        </w:tc>
        <w:tc>
          <w:tcPr>
            <w:tcW w:w="924"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131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龙溪河片区</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0</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0</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79</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w:t>
            </w:r>
          </w:p>
        </w:tc>
        <w:tc>
          <w:tcPr>
            <w:tcW w:w="916"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w:t>
            </w:r>
          </w:p>
        </w:tc>
        <w:tc>
          <w:tcPr>
            <w:tcW w:w="642"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0</w:t>
            </w:r>
          </w:p>
        </w:tc>
        <w:tc>
          <w:tcPr>
            <w:tcW w:w="663"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16</w:t>
            </w:r>
          </w:p>
        </w:tc>
        <w:tc>
          <w:tcPr>
            <w:tcW w:w="75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46</w:t>
            </w:r>
          </w:p>
        </w:tc>
        <w:tc>
          <w:tcPr>
            <w:tcW w:w="924"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131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长江干流片区</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0</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0</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11</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325</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7</w:t>
            </w:r>
          </w:p>
        </w:tc>
        <w:tc>
          <w:tcPr>
            <w:tcW w:w="916"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18</w:t>
            </w:r>
          </w:p>
        </w:tc>
        <w:tc>
          <w:tcPr>
            <w:tcW w:w="642"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w:t>
            </w:r>
          </w:p>
        </w:tc>
        <w:tc>
          <w:tcPr>
            <w:tcW w:w="663"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273</w:t>
            </w:r>
          </w:p>
        </w:tc>
        <w:tc>
          <w:tcPr>
            <w:tcW w:w="75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211</w:t>
            </w:r>
          </w:p>
        </w:tc>
        <w:tc>
          <w:tcPr>
            <w:tcW w:w="924"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131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全区</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29</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104</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12939</w:t>
            </w:r>
          </w:p>
        </w:tc>
        <w:tc>
          <w:tcPr>
            <w:tcW w:w="77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517</w:t>
            </w:r>
          </w:p>
        </w:tc>
        <w:tc>
          <w:tcPr>
            <w:tcW w:w="916"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591</w:t>
            </w:r>
          </w:p>
        </w:tc>
        <w:tc>
          <w:tcPr>
            <w:tcW w:w="642"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43</w:t>
            </w:r>
          </w:p>
        </w:tc>
        <w:tc>
          <w:tcPr>
            <w:tcW w:w="663"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5653</w:t>
            </w:r>
          </w:p>
        </w:tc>
        <w:tc>
          <w:tcPr>
            <w:tcW w:w="75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6030</w:t>
            </w:r>
          </w:p>
        </w:tc>
        <w:tc>
          <w:tcPr>
            <w:tcW w:w="924"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25910</w:t>
            </w:r>
          </w:p>
        </w:tc>
      </w:tr>
    </w:tbl>
    <w:p>
      <w:pPr>
        <w:snapToGrid w:val="0"/>
        <w:spacing w:line="276" w:lineRule="auto"/>
        <w:ind w:firstLine="420"/>
        <w:rPr>
          <w:rFonts w:ascii="方正仿宋_GBK" w:eastAsia="方正仿宋_GBK"/>
          <w:b/>
          <w:sz w:val="24"/>
          <w:szCs w:val="24"/>
        </w:rPr>
      </w:pPr>
      <w:r>
        <w:rPr>
          <w:rFonts w:hint="eastAsia" w:ascii="方正仿宋_GBK" w:eastAsia="方正仿宋_GBK"/>
          <w:b/>
          <w:sz w:val="24"/>
          <w:szCs w:val="24"/>
        </w:rPr>
        <w:t>注：其他工程包含水窖、水池等微型水利工程，金鼎寺、石梁桥及南瓜山暂未供水，不计入本次统计表格内，纳入规划年供水工程。</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ascii="方正仿宋_GBK" w:hAnsi="宋体" w:eastAsia="方正仿宋_GBK"/>
          <w:sz w:val="32"/>
          <w:szCs w:val="32"/>
        </w:rPr>
      </w:pPr>
      <w:r>
        <w:rPr>
          <w:rFonts w:hint="eastAsia" w:ascii="方正仿宋_GBK" w:hAnsi="宋体" w:eastAsia="方正仿宋_GBK"/>
          <w:sz w:val="32"/>
          <w:szCs w:val="32"/>
        </w:rPr>
        <w:t>从工程分布来看，因小安溪片区及临江河片区所占面积较大，工程主要集中于这两片区域。</w:t>
      </w:r>
    </w:p>
    <w:p>
      <w:pPr>
        <w:keepNext w:val="0"/>
        <w:keepLines w:val="0"/>
        <w:pageBreakBefore w:val="0"/>
        <w:widowControl w:val="0"/>
        <w:kinsoku/>
        <w:wordWrap/>
        <w:overflowPunct/>
        <w:topLinePunct w:val="0"/>
        <w:autoSpaceDE/>
        <w:autoSpaceDN/>
        <w:bidi w:val="0"/>
        <w:snapToGrid w:val="0"/>
        <w:spacing w:line="276" w:lineRule="auto"/>
        <w:ind w:firstLine="640" w:firstLineChars="200"/>
        <w:textAlignment w:val="auto"/>
        <w:rPr>
          <w:rFonts w:hint="eastAsia" w:ascii="方正仿宋_GBK" w:hAnsi="宋体" w:eastAsia="方正仿宋_GBK"/>
          <w:sz w:val="32"/>
          <w:szCs w:val="32"/>
        </w:rPr>
      </w:pPr>
      <w:r>
        <w:rPr>
          <w:rFonts w:hint="eastAsia" w:ascii="方正仿宋_GBK" w:hAnsi="宋体" w:eastAsia="方正仿宋_GBK"/>
          <w:sz w:val="32"/>
          <w:szCs w:val="32"/>
        </w:rPr>
        <w:t>1.3.2.2现有设施可供水量</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ascii="方正仿宋_GBK" w:hAnsi="宋体" w:eastAsia="方正仿宋_GBK"/>
          <w:sz w:val="32"/>
          <w:szCs w:val="32"/>
        </w:rPr>
      </w:pPr>
      <w:r>
        <w:rPr>
          <w:rFonts w:hint="eastAsia" w:ascii="方正仿宋_GBK" w:hAnsi="宋体" w:eastAsia="方正仿宋_GBK"/>
          <w:sz w:val="32"/>
          <w:szCs w:val="32"/>
        </w:rPr>
        <w:t>基准年可供水量的计算，是在现状调查评价基础上，分析现有供水基础设施的工程布局、供水能力、运行状况及水资源开发程度，按照供需节点计算地表水、地下水、其他水源工程在不同保证率下的可供水量，现状水利工程可供水量计算成果见下表。</w:t>
      </w:r>
    </w:p>
    <w:p>
      <w:pPr>
        <w:keepNext w:val="0"/>
        <w:keepLines w:val="0"/>
        <w:pageBreakBefore w:val="0"/>
        <w:widowControl w:val="0"/>
        <w:kinsoku/>
        <w:wordWrap/>
        <w:overflowPunct/>
        <w:topLinePunct w:val="0"/>
        <w:autoSpaceDE/>
        <w:autoSpaceDN/>
        <w:bidi w:val="0"/>
        <w:snapToGrid w:val="0"/>
        <w:spacing w:beforeLines="0" w:afterLines="0" w:line="264" w:lineRule="auto"/>
        <w:jc w:val="center"/>
        <w:textAlignment w:val="auto"/>
        <w:rPr>
          <w:rFonts w:hint="eastAsia" w:ascii="方正楷体_GBK" w:hAnsi="方正楷体_GBK" w:eastAsia="方正楷体_GBK" w:cs="方正楷体_GBK"/>
          <w:sz w:val="30"/>
          <w:szCs w:val="30"/>
        </w:rPr>
      </w:pPr>
      <w:r>
        <w:rPr>
          <w:rFonts w:hint="eastAsia" w:ascii="方正楷体_GBK" w:hAnsi="方正楷体_GBK" w:eastAsia="方正楷体_GBK" w:cs="方正楷体_GBK"/>
          <w:sz w:val="30"/>
          <w:szCs w:val="30"/>
        </w:rPr>
        <w:t>表1.3-2  永川区基准年可供水工程可供水量表</w:t>
      </w:r>
    </w:p>
    <w:p>
      <w:pPr>
        <w:keepNext w:val="0"/>
        <w:keepLines w:val="0"/>
        <w:pageBreakBefore w:val="0"/>
        <w:widowControl w:val="0"/>
        <w:kinsoku/>
        <w:wordWrap/>
        <w:overflowPunct/>
        <w:topLinePunct w:val="0"/>
        <w:autoSpaceDE/>
        <w:autoSpaceDN/>
        <w:bidi w:val="0"/>
        <w:snapToGrid w:val="0"/>
        <w:spacing w:line="240" w:lineRule="auto"/>
        <w:jc w:val="righ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default" w:ascii="方正仿宋_GBK" w:hAnsi="方正仿宋_GBK" w:eastAsia="方正仿宋_GBK" w:cs="方正仿宋_GBK"/>
          <w:sz w:val="28"/>
          <w:szCs w:val="28"/>
          <w:lang w:val="en"/>
        </w:rPr>
        <w:t xml:space="preserve"> </w:t>
      </w:r>
      <w:r>
        <w:rPr>
          <w:rFonts w:hint="eastAsia" w:ascii="方正仿宋_GBK" w:hAnsi="方正仿宋_GBK" w:eastAsia="方正仿宋_GBK" w:cs="方正仿宋_GBK"/>
          <w:sz w:val="28"/>
          <w:szCs w:val="28"/>
        </w:rPr>
        <w:t xml:space="preserve"> 位：万m³</w:t>
      </w:r>
    </w:p>
    <w:tbl>
      <w:tblPr>
        <w:tblStyle w:val="17"/>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751"/>
        <w:gridCol w:w="751"/>
        <w:gridCol w:w="751"/>
        <w:gridCol w:w="751"/>
        <w:gridCol w:w="765"/>
        <w:gridCol w:w="719"/>
        <w:gridCol w:w="870"/>
        <w:gridCol w:w="880"/>
        <w:gridCol w:w="628"/>
        <w:gridCol w:w="517"/>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8" w:type="dxa"/>
            <w:vMerge w:val="restart"/>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频率</w:t>
            </w:r>
          </w:p>
        </w:tc>
        <w:tc>
          <w:tcPr>
            <w:tcW w:w="5358" w:type="dxa"/>
            <w:gridSpan w:val="7"/>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地表水</w:t>
            </w:r>
          </w:p>
        </w:tc>
        <w:tc>
          <w:tcPr>
            <w:tcW w:w="880" w:type="dxa"/>
            <w:vMerge w:val="restart"/>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地表水小计</w:t>
            </w:r>
          </w:p>
        </w:tc>
        <w:tc>
          <w:tcPr>
            <w:tcW w:w="628" w:type="dxa"/>
            <w:vMerge w:val="restart"/>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地下水</w:t>
            </w:r>
          </w:p>
        </w:tc>
        <w:tc>
          <w:tcPr>
            <w:tcW w:w="517" w:type="dxa"/>
            <w:vMerge w:val="restart"/>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其他水</w:t>
            </w:r>
          </w:p>
        </w:tc>
        <w:tc>
          <w:tcPr>
            <w:tcW w:w="878" w:type="dxa"/>
            <w:vMerge w:val="restart"/>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所有类别合计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8" w:type="dxa"/>
            <w:vMerge w:val="continue"/>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c>
          <w:tcPr>
            <w:tcW w:w="3769" w:type="dxa"/>
            <w:gridSpan w:val="5"/>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蓄水工程</w:t>
            </w:r>
          </w:p>
        </w:tc>
        <w:tc>
          <w:tcPr>
            <w:tcW w:w="1589" w:type="dxa"/>
            <w:gridSpan w:val="2"/>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引提水工程</w:t>
            </w:r>
          </w:p>
        </w:tc>
        <w:tc>
          <w:tcPr>
            <w:tcW w:w="880" w:type="dxa"/>
            <w:vMerge w:val="continue"/>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c>
          <w:tcPr>
            <w:tcW w:w="628" w:type="dxa"/>
            <w:vMerge w:val="continue"/>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c>
          <w:tcPr>
            <w:tcW w:w="517" w:type="dxa"/>
            <w:vMerge w:val="continue"/>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c>
          <w:tcPr>
            <w:tcW w:w="878" w:type="dxa"/>
            <w:vMerge w:val="continue"/>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blHeader/>
          <w:jc w:val="center"/>
        </w:trPr>
        <w:tc>
          <w:tcPr>
            <w:tcW w:w="678" w:type="dxa"/>
            <w:vMerge w:val="continue"/>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c>
          <w:tcPr>
            <w:tcW w:w="751" w:type="dxa"/>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中型水库</w:t>
            </w:r>
          </w:p>
        </w:tc>
        <w:tc>
          <w:tcPr>
            <w:tcW w:w="751" w:type="dxa"/>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小型水库</w:t>
            </w:r>
          </w:p>
        </w:tc>
        <w:tc>
          <w:tcPr>
            <w:tcW w:w="751" w:type="dxa"/>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山坪塘</w:t>
            </w:r>
          </w:p>
        </w:tc>
        <w:tc>
          <w:tcPr>
            <w:tcW w:w="751" w:type="dxa"/>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石河堰</w:t>
            </w:r>
          </w:p>
        </w:tc>
        <w:tc>
          <w:tcPr>
            <w:tcW w:w="765" w:type="dxa"/>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微型</w:t>
            </w:r>
          </w:p>
        </w:tc>
        <w:tc>
          <w:tcPr>
            <w:tcW w:w="719" w:type="dxa"/>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引水</w:t>
            </w:r>
          </w:p>
        </w:tc>
        <w:tc>
          <w:tcPr>
            <w:tcW w:w="870" w:type="dxa"/>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提水</w:t>
            </w:r>
          </w:p>
        </w:tc>
        <w:tc>
          <w:tcPr>
            <w:tcW w:w="880" w:type="dxa"/>
            <w:vMerge w:val="continue"/>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c>
          <w:tcPr>
            <w:tcW w:w="628" w:type="dxa"/>
            <w:vMerge w:val="continue"/>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c>
          <w:tcPr>
            <w:tcW w:w="517" w:type="dxa"/>
            <w:vMerge w:val="continue"/>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c>
          <w:tcPr>
            <w:tcW w:w="878" w:type="dxa"/>
            <w:vMerge w:val="continue"/>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50%</w:t>
            </w:r>
          </w:p>
        </w:tc>
        <w:tc>
          <w:tcPr>
            <w:tcW w:w="751"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3316</w:t>
            </w:r>
          </w:p>
        </w:tc>
        <w:tc>
          <w:tcPr>
            <w:tcW w:w="751"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8197</w:t>
            </w:r>
          </w:p>
        </w:tc>
        <w:tc>
          <w:tcPr>
            <w:tcW w:w="751"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4657</w:t>
            </w:r>
          </w:p>
        </w:tc>
        <w:tc>
          <w:tcPr>
            <w:tcW w:w="751"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3618</w:t>
            </w:r>
          </w:p>
        </w:tc>
        <w:tc>
          <w:tcPr>
            <w:tcW w:w="765"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3165</w:t>
            </w:r>
          </w:p>
        </w:tc>
        <w:tc>
          <w:tcPr>
            <w:tcW w:w="71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398</w:t>
            </w:r>
          </w:p>
        </w:tc>
        <w:tc>
          <w:tcPr>
            <w:tcW w:w="87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11129</w:t>
            </w:r>
          </w:p>
        </w:tc>
        <w:tc>
          <w:tcPr>
            <w:tcW w:w="88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34480</w:t>
            </w:r>
          </w:p>
        </w:tc>
        <w:tc>
          <w:tcPr>
            <w:tcW w:w="628"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379</w:t>
            </w:r>
          </w:p>
        </w:tc>
        <w:tc>
          <w:tcPr>
            <w:tcW w:w="517"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0</w:t>
            </w:r>
          </w:p>
        </w:tc>
        <w:tc>
          <w:tcPr>
            <w:tcW w:w="878"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34859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75%</w:t>
            </w:r>
          </w:p>
        </w:tc>
        <w:tc>
          <w:tcPr>
            <w:tcW w:w="751"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2825</w:t>
            </w:r>
          </w:p>
        </w:tc>
        <w:tc>
          <w:tcPr>
            <w:tcW w:w="751"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6983</w:t>
            </w:r>
          </w:p>
        </w:tc>
        <w:tc>
          <w:tcPr>
            <w:tcW w:w="751"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3904</w:t>
            </w:r>
          </w:p>
        </w:tc>
        <w:tc>
          <w:tcPr>
            <w:tcW w:w="751"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3052</w:t>
            </w:r>
          </w:p>
        </w:tc>
        <w:tc>
          <w:tcPr>
            <w:tcW w:w="765"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2510</w:t>
            </w:r>
          </w:p>
        </w:tc>
        <w:tc>
          <w:tcPr>
            <w:tcW w:w="71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422</w:t>
            </w:r>
          </w:p>
        </w:tc>
        <w:tc>
          <w:tcPr>
            <w:tcW w:w="87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11266</w:t>
            </w:r>
          </w:p>
        </w:tc>
        <w:tc>
          <w:tcPr>
            <w:tcW w:w="88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30962</w:t>
            </w:r>
          </w:p>
        </w:tc>
        <w:tc>
          <w:tcPr>
            <w:tcW w:w="628"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379</w:t>
            </w:r>
          </w:p>
        </w:tc>
        <w:tc>
          <w:tcPr>
            <w:tcW w:w="517"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0</w:t>
            </w:r>
          </w:p>
        </w:tc>
        <w:tc>
          <w:tcPr>
            <w:tcW w:w="878"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31341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95%</w:t>
            </w:r>
          </w:p>
        </w:tc>
        <w:tc>
          <w:tcPr>
            <w:tcW w:w="751"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2212</w:t>
            </w:r>
          </w:p>
        </w:tc>
        <w:tc>
          <w:tcPr>
            <w:tcW w:w="751"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5768</w:t>
            </w:r>
          </w:p>
        </w:tc>
        <w:tc>
          <w:tcPr>
            <w:tcW w:w="751"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3082</w:t>
            </w:r>
          </w:p>
        </w:tc>
        <w:tc>
          <w:tcPr>
            <w:tcW w:w="751"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2374</w:t>
            </w:r>
          </w:p>
        </w:tc>
        <w:tc>
          <w:tcPr>
            <w:tcW w:w="765"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1809</w:t>
            </w:r>
          </w:p>
        </w:tc>
        <w:tc>
          <w:tcPr>
            <w:tcW w:w="719"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422</w:t>
            </w:r>
          </w:p>
        </w:tc>
        <w:tc>
          <w:tcPr>
            <w:tcW w:w="87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11415</w:t>
            </w:r>
          </w:p>
        </w:tc>
        <w:tc>
          <w:tcPr>
            <w:tcW w:w="880"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27082</w:t>
            </w:r>
          </w:p>
        </w:tc>
        <w:tc>
          <w:tcPr>
            <w:tcW w:w="628"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379</w:t>
            </w:r>
          </w:p>
        </w:tc>
        <w:tc>
          <w:tcPr>
            <w:tcW w:w="517"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0</w:t>
            </w:r>
          </w:p>
        </w:tc>
        <w:tc>
          <w:tcPr>
            <w:tcW w:w="878" w:type="dxa"/>
            <w:noWrap w:val="0"/>
            <w:vAlign w:val="center"/>
          </w:tcPr>
          <w:p>
            <w:pPr>
              <w:widowControl w:val="0"/>
              <w:adjustRightInd w:val="0"/>
              <w:snapToGrid w:val="0"/>
              <w:spacing w:line="240" w:lineRule="auto"/>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27461</w:t>
            </w:r>
          </w:p>
        </w:tc>
      </w:tr>
    </w:tbl>
    <w:p>
      <w:pPr>
        <w:pStyle w:val="32"/>
        <w:keepNext w:val="0"/>
        <w:keepLines w:val="0"/>
        <w:pageBreakBefore w:val="0"/>
        <w:widowControl w:val="0"/>
        <w:kinsoku/>
        <w:wordWrap/>
        <w:overflowPunct/>
        <w:topLinePunct w:val="0"/>
        <w:autoSpaceDE/>
        <w:autoSpaceDN/>
        <w:bidi w:val="0"/>
        <w:adjustRightInd/>
        <w:snapToGrid w:val="0"/>
        <w:spacing w:line="276" w:lineRule="auto"/>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经计算，永川区现状供水工程在保证率P=50%、P=75%、P=95%情况下可供水量分别为34859万m³、31341万m³、27461万m³，地表水可供水量所占比例分别为99%、98.80%、98.61%。</w:t>
      </w:r>
    </w:p>
    <w:p>
      <w:pPr>
        <w:keepNext w:val="0"/>
        <w:keepLines w:val="0"/>
        <w:pageBreakBefore w:val="0"/>
        <w:widowControl w:val="0"/>
        <w:kinsoku/>
        <w:wordWrap/>
        <w:overflowPunct/>
        <w:topLinePunct w:val="0"/>
        <w:autoSpaceDE/>
        <w:autoSpaceDN/>
        <w:bidi w:val="0"/>
        <w:adjustRightInd/>
        <w:snapToGrid w:val="0"/>
        <w:spacing w:line="276" w:lineRule="auto"/>
        <w:ind w:firstLine="640" w:firstLineChars="200"/>
        <w:textAlignment w:val="auto"/>
        <w:rPr>
          <w:rFonts w:hint="eastAsia" w:ascii="方正仿宋_GBK" w:hAnsi="宋体" w:eastAsia="方正仿宋_GBK"/>
          <w:sz w:val="32"/>
          <w:szCs w:val="32"/>
        </w:rPr>
      </w:pPr>
      <w:r>
        <w:rPr>
          <w:rFonts w:hint="eastAsia" w:ascii="方正仿宋_GBK" w:hAnsi="宋体" w:eastAsia="方正仿宋_GBK"/>
          <w:sz w:val="32"/>
          <w:szCs w:val="32"/>
        </w:rPr>
        <w:t>1.3.</w:t>
      </w:r>
      <w:r>
        <w:rPr>
          <w:rFonts w:hint="eastAsia" w:ascii="方正仿宋_GBK" w:hAnsi="宋体" w:eastAsia="方正仿宋_GBK"/>
          <w:sz w:val="32"/>
          <w:szCs w:val="32"/>
          <w:lang w:val="en-US" w:eastAsia="zh-CN"/>
        </w:rPr>
        <w:t>2</w:t>
      </w:r>
      <w:r>
        <w:rPr>
          <w:rFonts w:hint="eastAsia" w:ascii="方正仿宋_GBK" w:hAnsi="宋体" w:eastAsia="方正仿宋_GBK"/>
          <w:sz w:val="32"/>
          <w:szCs w:val="32"/>
        </w:rPr>
        <w:t>.3现状供水量分析</w:t>
      </w:r>
    </w:p>
    <w:p>
      <w:pPr>
        <w:keepNext w:val="0"/>
        <w:keepLines w:val="0"/>
        <w:pageBreakBefore w:val="0"/>
        <w:widowControl w:val="0"/>
        <w:kinsoku/>
        <w:wordWrap/>
        <w:overflowPunct/>
        <w:topLinePunct w:val="0"/>
        <w:autoSpaceDE/>
        <w:autoSpaceDN/>
        <w:bidi w:val="0"/>
        <w:adjustRightInd/>
        <w:snapToGrid w:val="0"/>
        <w:spacing w:line="276" w:lineRule="auto"/>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在“十三五”期间，随着永川区水利基础设施不断完善，工程供水量逐年增加，由2016年供水量31246万m³提升至33591万m³。2016～2020年永川区供水量统计结果见表1.3-3。</w:t>
      </w:r>
    </w:p>
    <w:p>
      <w:pPr>
        <w:keepNext w:val="0"/>
        <w:keepLines w:val="0"/>
        <w:pageBreakBefore w:val="0"/>
        <w:widowControl w:val="0"/>
        <w:kinsoku/>
        <w:wordWrap/>
        <w:overflowPunct/>
        <w:topLinePunct w:val="0"/>
        <w:autoSpaceDE/>
        <w:autoSpaceDN/>
        <w:bidi w:val="0"/>
        <w:adjustRightInd/>
        <w:snapToGrid w:val="0"/>
        <w:spacing w:beforeLines="0" w:afterLines="0" w:line="264" w:lineRule="auto"/>
        <w:jc w:val="center"/>
        <w:textAlignment w:val="auto"/>
        <w:rPr>
          <w:rFonts w:hint="eastAsia" w:ascii="方正楷体_GBK" w:hAnsi="方正楷体_GBK" w:eastAsia="方正楷体_GBK" w:cs="方正楷体_GBK"/>
          <w:sz w:val="30"/>
          <w:szCs w:val="30"/>
        </w:rPr>
      </w:pPr>
      <w:r>
        <w:rPr>
          <w:rFonts w:hint="eastAsia" w:ascii="方正楷体_GBK" w:hAnsi="方正楷体_GBK" w:eastAsia="方正楷体_GBK" w:cs="方正楷体_GBK"/>
          <w:sz w:val="30"/>
          <w:szCs w:val="30"/>
        </w:rPr>
        <w:t>表1.3-3  永川区2016～2019年供水量统计表</w:t>
      </w:r>
    </w:p>
    <w:p>
      <w:pPr>
        <w:keepNext w:val="0"/>
        <w:keepLines w:val="0"/>
        <w:pageBreakBefore w:val="0"/>
        <w:widowControl w:val="0"/>
        <w:kinsoku/>
        <w:wordWrap/>
        <w:overflowPunct/>
        <w:topLinePunct w:val="0"/>
        <w:autoSpaceDE/>
        <w:autoSpaceDN/>
        <w:bidi w:val="0"/>
        <w:adjustRightInd/>
        <w:snapToGrid w:val="0"/>
        <w:spacing w:line="240" w:lineRule="auto"/>
        <w:jc w:val="right"/>
        <w:textAlignment w:val="auto"/>
        <w:rPr>
          <w:rFonts w:hint="eastAsia"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 xml:space="preserve">   </w:t>
      </w:r>
      <w:r>
        <w:rPr>
          <w:rFonts w:hint="eastAsia" w:ascii="方正仿宋_GBK" w:hAnsi="方正仿宋_GBK" w:eastAsia="方正仿宋_GBK" w:cs="方正仿宋_GBK"/>
          <w:sz w:val="28"/>
          <w:szCs w:val="28"/>
        </w:rPr>
        <w:t>单位：亿m³</w:t>
      </w:r>
    </w:p>
    <w:tbl>
      <w:tblPr>
        <w:tblStyle w:val="17"/>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3"/>
        <w:gridCol w:w="1634"/>
        <w:gridCol w:w="1633"/>
        <w:gridCol w:w="1633"/>
        <w:gridCol w:w="2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blHeader/>
          <w:jc w:val="center"/>
        </w:trPr>
        <w:tc>
          <w:tcPr>
            <w:tcW w:w="1763" w:type="dxa"/>
            <w:vMerge w:val="restart"/>
            <w:noWrap w:val="0"/>
            <w:vAlign w:val="center"/>
          </w:tcPr>
          <w:p>
            <w:pPr>
              <w:widowControl/>
              <w:adjustRightInd w:val="0"/>
              <w:snapToGrid w:val="0"/>
              <w:spacing w:line="240" w:lineRule="auto"/>
              <w:jc w:val="center"/>
              <w:rPr>
                <w:rFonts w:hint="eastAsia" w:ascii="方正黑体_GBK" w:hAnsi="方正黑体_GBK" w:eastAsia="方正黑体_GBK" w:cs="方正黑体_GBK"/>
                <w:kern w:val="0"/>
              </w:rPr>
            </w:pPr>
            <w:r>
              <w:rPr>
                <w:rFonts w:hint="eastAsia" w:ascii="方正黑体_GBK" w:hAnsi="方正黑体_GBK" w:eastAsia="方正黑体_GBK" w:cs="方正黑体_GBK"/>
                <w:kern w:val="0"/>
              </w:rPr>
              <w:t>年份</w:t>
            </w:r>
          </w:p>
        </w:tc>
        <w:tc>
          <w:tcPr>
            <w:tcW w:w="7056" w:type="dxa"/>
            <w:gridSpan w:val="4"/>
            <w:noWrap w:val="0"/>
            <w:vAlign w:val="center"/>
          </w:tcPr>
          <w:p>
            <w:pPr>
              <w:widowControl/>
              <w:adjustRightInd w:val="0"/>
              <w:snapToGrid w:val="0"/>
              <w:spacing w:line="240" w:lineRule="auto"/>
              <w:jc w:val="center"/>
              <w:rPr>
                <w:rFonts w:hint="eastAsia" w:ascii="方正黑体_GBK" w:hAnsi="方正黑体_GBK" w:eastAsia="方正黑体_GBK" w:cs="方正黑体_GBK"/>
                <w:kern w:val="0"/>
              </w:rPr>
            </w:pPr>
            <w:r>
              <w:rPr>
                <w:rFonts w:hint="eastAsia" w:ascii="方正黑体_GBK" w:hAnsi="方正黑体_GBK" w:eastAsia="方正黑体_GBK" w:cs="方正黑体_GBK"/>
                <w:kern w:val="0"/>
              </w:rPr>
              <w:t>供水量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blHeader/>
          <w:jc w:val="center"/>
        </w:trPr>
        <w:tc>
          <w:tcPr>
            <w:tcW w:w="1763" w:type="dxa"/>
            <w:vMerge w:val="continue"/>
            <w:noWrap w:val="0"/>
            <w:vAlign w:val="center"/>
          </w:tcPr>
          <w:p>
            <w:pPr>
              <w:widowControl/>
              <w:adjustRightInd w:val="0"/>
              <w:snapToGrid w:val="0"/>
              <w:spacing w:line="240" w:lineRule="auto"/>
              <w:jc w:val="center"/>
              <w:rPr>
                <w:rFonts w:hint="eastAsia" w:ascii="方正黑体_GBK" w:hAnsi="方正黑体_GBK" w:eastAsia="方正黑体_GBK" w:cs="方正黑体_GBK"/>
                <w:kern w:val="0"/>
              </w:rPr>
            </w:pPr>
          </w:p>
        </w:tc>
        <w:tc>
          <w:tcPr>
            <w:tcW w:w="1634" w:type="dxa"/>
            <w:noWrap w:val="0"/>
            <w:vAlign w:val="center"/>
          </w:tcPr>
          <w:p>
            <w:pPr>
              <w:widowControl/>
              <w:adjustRightInd w:val="0"/>
              <w:snapToGrid w:val="0"/>
              <w:spacing w:line="240" w:lineRule="auto"/>
              <w:jc w:val="center"/>
              <w:rPr>
                <w:rFonts w:hint="eastAsia" w:ascii="方正黑体_GBK" w:hAnsi="方正黑体_GBK" w:eastAsia="方正黑体_GBK" w:cs="方正黑体_GBK"/>
                <w:kern w:val="0"/>
              </w:rPr>
            </w:pPr>
            <w:r>
              <w:rPr>
                <w:rFonts w:hint="eastAsia" w:ascii="方正黑体_GBK" w:hAnsi="方正黑体_GBK" w:eastAsia="方正黑体_GBK" w:cs="方正黑体_GBK"/>
                <w:kern w:val="0"/>
              </w:rPr>
              <w:t>地表水</w:t>
            </w:r>
          </w:p>
        </w:tc>
        <w:tc>
          <w:tcPr>
            <w:tcW w:w="1633" w:type="dxa"/>
            <w:noWrap w:val="0"/>
            <w:vAlign w:val="center"/>
          </w:tcPr>
          <w:p>
            <w:pPr>
              <w:widowControl/>
              <w:adjustRightInd w:val="0"/>
              <w:snapToGrid w:val="0"/>
              <w:spacing w:line="240" w:lineRule="auto"/>
              <w:jc w:val="center"/>
              <w:rPr>
                <w:rFonts w:hint="eastAsia" w:ascii="方正黑体_GBK" w:hAnsi="方正黑体_GBK" w:eastAsia="方正黑体_GBK" w:cs="方正黑体_GBK"/>
                <w:kern w:val="0"/>
              </w:rPr>
            </w:pPr>
            <w:r>
              <w:rPr>
                <w:rFonts w:hint="eastAsia" w:ascii="方正黑体_GBK" w:hAnsi="方正黑体_GBK" w:eastAsia="方正黑体_GBK" w:cs="方正黑体_GBK"/>
                <w:kern w:val="0"/>
              </w:rPr>
              <w:t>地下水</w:t>
            </w:r>
          </w:p>
        </w:tc>
        <w:tc>
          <w:tcPr>
            <w:tcW w:w="1633" w:type="dxa"/>
            <w:noWrap w:val="0"/>
            <w:vAlign w:val="center"/>
          </w:tcPr>
          <w:p>
            <w:pPr>
              <w:widowControl/>
              <w:adjustRightInd w:val="0"/>
              <w:snapToGrid w:val="0"/>
              <w:spacing w:line="240" w:lineRule="auto"/>
              <w:jc w:val="center"/>
              <w:rPr>
                <w:rFonts w:hint="eastAsia" w:ascii="方正黑体_GBK" w:hAnsi="方正黑体_GBK" w:eastAsia="方正黑体_GBK" w:cs="方正黑体_GBK"/>
                <w:kern w:val="0"/>
              </w:rPr>
            </w:pPr>
            <w:r>
              <w:rPr>
                <w:rFonts w:hint="eastAsia" w:ascii="方正黑体_GBK" w:hAnsi="方正黑体_GBK" w:eastAsia="方正黑体_GBK" w:cs="方正黑体_GBK"/>
                <w:kern w:val="0"/>
              </w:rPr>
              <w:t>其他</w:t>
            </w:r>
          </w:p>
        </w:tc>
        <w:tc>
          <w:tcPr>
            <w:tcW w:w="2156" w:type="dxa"/>
            <w:noWrap w:val="0"/>
            <w:vAlign w:val="center"/>
          </w:tcPr>
          <w:p>
            <w:pPr>
              <w:widowControl/>
              <w:adjustRightInd w:val="0"/>
              <w:snapToGrid w:val="0"/>
              <w:spacing w:line="240" w:lineRule="auto"/>
              <w:jc w:val="center"/>
              <w:rPr>
                <w:rFonts w:hint="eastAsia" w:ascii="方正黑体_GBK" w:hAnsi="方正黑体_GBK" w:eastAsia="方正黑体_GBK" w:cs="方正黑体_GBK"/>
                <w:kern w:val="0"/>
              </w:rPr>
            </w:pPr>
            <w:r>
              <w:rPr>
                <w:rFonts w:hint="eastAsia" w:ascii="方正黑体_GBK" w:hAnsi="方正黑体_GBK" w:eastAsia="方正黑体_GBK" w:cs="方正黑体_GBK"/>
                <w:kern w:val="0"/>
              </w:rPr>
              <w:t>总供水量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763"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2016年</w:t>
            </w:r>
          </w:p>
        </w:tc>
        <w:tc>
          <w:tcPr>
            <w:tcW w:w="1634"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3.095</w:t>
            </w:r>
          </w:p>
        </w:tc>
        <w:tc>
          <w:tcPr>
            <w:tcW w:w="1633"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0.0278</w:t>
            </w:r>
          </w:p>
        </w:tc>
        <w:tc>
          <w:tcPr>
            <w:tcW w:w="1633"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0.0018</w:t>
            </w:r>
          </w:p>
        </w:tc>
        <w:tc>
          <w:tcPr>
            <w:tcW w:w="2156"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3.1246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763"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2017年</w:t>
            </w:r>
          </w:p>
        </w:tc>
        <w:tc>
          <w:tcPr>
            <w:tcW w:w="1634"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3.0432</w:t>
            </w:r>
          </w:p>
        </w:tc>
        <w:tc>
          <w:tcPr>
            <w:tcW w:w="1633"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0.0297</w:t>
            </w:r>
          </w:p>
        </w:tc>
        <w:tc>
          <w:tcPr>
            <w:tcW w:w="1633"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0.0017</w:t>
            </w:r>
          </w:p>
        </w:tc>
        <w:tc>
          <w:tcPr>
            <w:tcW w:w="2156"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3.0746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763"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2018年</w:t>
            </w:r>
          </w:p>
        </w:tc>
        <w:tc>
          <w:tcPr>
            <w:tcW w:w="1634"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3.1877</w:t>
            </w:r>
          </w:p>
        </w:tc>
        <w:tc>
          <w:tcPr>
            <w:tcW w:w="1633"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0.0281</w:t>
            </w:r>
          </w:p>
        </w:tc>
        <w:tc>
          <w:tcPr>
            <w:tcW w:w="1633"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0.0017</w:t>
            </w:r>
          </w:p>
        </w:tc>
        <w:tc>
          <w:tcPr>
            <w:tcW w:w="2156"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3.2175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763"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2019年</w:t>
            </w:r>
          </w:p>
        </w:tc>
        <w:tc>
          <w:tcPr>
            <w:tcW w:w="1634"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3.1815</w:t>
            </w:r>
          </w:p>
        </w:tc>
        <w:tc>
          <w:tcPr>
            <w:tcW w:w="1633"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0.0253</w:t>
            </w:r>
          </w:p>
        </w:tc>
        <w:tc>
          <w:tcPr>
            <w:tcW w:w="1633"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0.0117</w:t>
            </w:r>
          </w:p>
        </w:tc>
        <w:tc>
          <w:tcPr>
            <w:tcW w:w="2156"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3.2185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63"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2020年</w:t>
            </w:r>
          </w:p>
        </w:tc>
        <w:tc>
          <w:tcPr>
            <w:tcW w:w="1634"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3.3238</w:t>
            </w:r>
          </w:p>
        </w:tc>
        <w:tc>
          <w:tcPr>
            <w:tcW w:w="1633"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0.0244</w:t>
            </w:r>
          </w:p>
        </w:tc>
        <w:tc>
          <w:tcPr>
            <w:tcW w:w="1633"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0.0117</w:t>
            </w:r>
          </w:p>
        </w:tc>
        <w:tc>
          <w:tcPr>
            <w:tcW w:w="2156" w:type="dxa"/>
            <w:noWrap w:val="0"/>
            <w:vAlign w:val="center"/>
          </w:tcPr>
          <w:p>
            <w:pPr>
              <w:widowControl/>
              <w:adjustRightInd w:val="0"/>
              <w:snapToGrid w:val="0"/>
              <w:spacing w:line="240" w:lineRule="auto"/>
              <w:jc w:val="center"/>
              <w:rPr>
                <w:rFonts w:ascii="方正仿宋_GBK" w:hAnsi="宋体" w:eastAsia="方正仿宋_GBK" w:cs="宋体"/>
                <w:kern w:val="0"/>
              </w:rPr>
            </w:pPr>
            <w:r>
              <w:rPr>
                <w:rFonts w:hint="eastAsia" w:ascii="方正仿宋_GBK" w:hAnsi="宋体" w:eastAsia="方正仿宋_GBK" w:cs="宋体"/>
                <w:kern w:val="0"/>
              </w:rPr>
              <w:t>3.3591</w:t>
            </w:r>
          </w:p>
        </w:tc>
      </w:tr>
    </w:tbl>
    <w:p>
      <w:pPr>
        <w:adjustRightInd w:val="0"/>
        <w:snapToGrid w:val="0"/>
        <w:spacing w:line="276" w:lineRule="auto"/>
        <w:ind w:firstLine="481" w:firstLineChars="200"/>
        <w:rPr>
          <w:rFonts w:ascii="方正仿宋_GBK" w:hAnsi="宋体" w:eastAsia="方正仿宋_GBK"/>
          <w:b/>
          <w:sz w:val="24"/>
          <w:szCs w:val="24"/>
        </w:rPr>
      </w:pPr>
      <w:r>
        <w:rPr>
          <w:rFonts w:hint="eastAsia" w:ascii="方正仿宋_GBK" w:hAnsi="宋体" w:eastAsia="方正仿宋_GBK"/>
          <w:b/>
          <w:sz w:val="24"/>
          <w:szCs w:val="24"/>
        </w:rPr>
        <w:t>注：2017年属丰水年，其供水量略小于2016年。</w:t>
      </w:r>
    </w:p>
    <w:p>
      <w:pPr>
        <w:keepNext w:val="0"/>
        <w:keepLines w:val="0"/>
        <w:pageBreakBefore w:val="0"/>
        <w:widowControl w:val="0"/>
        <w:kinsoku/>
        <w:wordWrap/>
        <w:overflowPunct/>
        <w:topLinePunct w:val="0"/>
        <w:autoSpaceDE/>
        <w:autoSpaceDN/>
        <w:bidi w:val="0"/>
        <w:snapToGrid w:val="0"/>
        <w:spacing w:line="276" w:lineRule="auto"/>
        <w:ind w:firstLine="640" w:firstLineChars="200"/>
        <w:textAlignment w:val="auto"/>
        <w:rPr>
          <w:rFonts w:hint="eastAsia" w:ascii="方正仿宋_GBK" w:hAnsi="宋体" w:eastAsia="方正仿宋_GBK"/>
          <w:sz w:val="32"/>
          <w:szCs w:val="32"/>
        </w:rPr>
      </w:pPr>
      <w:r>
        <w:rPr>
          <w:rFonts w:hint="eastAsia" w:ascii="方正仿宋_GBK" w:hAnsi="宋体" w:eastAsia="方正仿宋_GBK"/>
          <w:sz w:val="32"/>
          <w:szCs w:val="32"/>
        </w:rPr>
        <w:t>1.3.</w:t>
      </w:r>
      <w:r>
        <w:rPr>
          <w:rFonts w:hint="eastAsia" w:ascii="方正仿宋_GBK" w:hAnsi="宋体" w:eastAsia="方正仿宋_GBK"/>
          <w:sz w:val="32"/>
          <w:szCs w:val="32"/>
          <w:lang w:val="en-US" w:eastAsia="zh-CN"/>
        </w:rPr>
        <w:t>2</w:t>
      </w:r>
      <w:r>
        <w:rPr>
          <w:rFonts w:hint="eastAsia" w:ascii="方正仿宋_GBK" w:hAnsi="宋体" w:eastAsia="方正仿宋_GBK"/>
          <w:sz w:val="32"/>
          <w:szCs w:val="32"/>
        </w:rPr>
        <w:t>.4现状用水量分析</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根据水资源公报统计结果，随着居民生活水平的不断提高，社会经济的快速发展，2016～2020年期间，各行业用水量处于增长趋势，年用水量增长约1%。</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表1.3-4  永川区2016～2019年各行业用水量统计表</w:t>
      </w:r>
    </w:p>
    <w:p>
      <w:pPr>
        <w:keepNext w:val="0"/>
        <w:keepLines w:val="0"/>
        <w:pageBreakBefore w:val="0"/>
        <w:widowControl w:val="0"/>
        <w:kinsoku/>
        <w:wordWrap/>
        <w:overflowPunct/>
        <w:topLinePunct w:val="0"/>
        <w:autoSpaceDE/>
        <w:autoSpaceDN/>
        <w:bidi w:val="0"/>
        <w:snapToGrid w:val="0"/>
        <w:spacing w:line="240" w:lineRule="auto"/>
        <w:jc w:val="righ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单位：亿m³</w:t>
      </w:r>
    </w:p>
    <w:tbl>
      <w:tblPr>
        <w:tblStyle w:val="17"/>
        <w:tblW w:w="4932" w:type="pct"/>
        <w:tblInd w:w="0" w:type="dxa"/>
        <w:tblLayout w:type="autofit"/>
        <w:tblCellMar>
          <w:top w:w="0" w:type="dxa"/>
          <w:left w:w="108" w:type="dxa"/>
          <w:bottom w:w="0" w:type="dxa"/>
          <w:right w:w="108" w:type="dxa"/>
        </w:tblCellMar>
      </w:tblPr>
      <w:tblGrid>
        <w:gridCol w:w="1488"/>
        <w:gridCol w:w="1488"/>
        <w:gridCol w:w="1488"/>
        <w:gridCol w:w="1488"/>
        <w:gridCol w:w="1493"/>
        <w:gridCol w:w="1493"/>
      </w:tblGrid>
      <w:tr>
        <w:tblPrEx>
          <w:tblCellMar>
            <w:top w:w="0" w:type="dxa"/>
            <w:left w:w="108" w:type="dxa"/>
            <w:bottom w:w="0" w:type="dxa"/>
            <w:right w:w="108" w:type="dxa"/>
          </w:tblCellMar>
        </w:tblPrEx>
        <w:trPr>
          <w:trHeight w:val="335" w:hRule="atLeast"/>
        </w:trPr>
        <w:tc>
          <w:tcPr>
            <w:tcW w:w="832"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年份</w:t>
            </w:r>
          </w:p>
        </w:tc>
        <w:tc>
          <w:tcPr>
            <w:tcW w:w="832"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生活</w:t>
            </w:r>
          </w:p>
        </w:tc>
        <w:tc>
          <w:tcPr>
            <w:tcW w:w="832"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工业</w:t>
            </w:r>
          </w:p>
        </w:tc>
        <w:tc>
          <w:tcPr>
            <w:tcW w:w="832"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农业</w:t>
            </w:r>
          </w:p>
        </w:tc>
        <w:tc>
          <w:tcPr>
            <w:tcW w:w="835" w:type="pct"/>
            <w:tcBorders>
              <w:top w:val="single" w:color="auto" w:sz="8" w:space="0"/>
              <w:left w:val="nil"/>
              <w:bottom w:val="single" w:color="auto" w:sz="8" w:space="0"/>
              <w:right w:val="single" w:color="auto" w:sz="8" w:space="0"/>
            </w:tcBorders>
            <w:noWrap w:val="0"/>
            <w:vAlign w:val="center"/>
          </w:tcPr>
          <w:p>
            <w:pPr>
              <w:widowControl/>
              <w:adjustRightInd w:val="0"/>
              <w:snapToGrid w:val="0"/>
              <w:spacing w:line="240" w:lineRule="auto"/>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生态环境</w:t>
            </w:r>
          </w:p>
        </w:tc>
        <w:tc>
          <w:tcPr>
            <w:tcW w:w="83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合计</w:t>
            </w:r>
          </w:p>
        </w:tc>
      </w:tr>
      <w:tr>
        <w:tblPrEx>
          <w:tblCellMar>
            <w:top w:w="0" w:type="dxa"/>
            <w:left w:w="108" w:type="dxa"/>
            <w:bottom w:w="0" w:type="dxa"/>
            <w:right w:w="108" w:type="dxa"/>
          </w:tblCellMar>
        </w:tblPrEx>
        <w:trPr>
          <w:trHeight w:val="331" w:hRule="atLeast"/>
        </w:trPr>
        <w:tc>
          <w:tcPr>
            <w:tcW w:w="832" w:type="pct"/>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2016</w:t>
            </w:r>
          </w:p>
        </w:tc>
        <w:tc>
          <w:tcPr>
            <w:tcW w:w="832"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0.7140</w:t>
            </w:r>
          </w:p>
        </w:tc>
        <w:tc>
          <w:tcPr>
            <w:tcW w:w="832"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0.6985</w:t>
            </w:r>
          </w:p>
        </w:tc>
        <w:tc>
          <w:tcPr>
            <w:tcW w:w="832"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1.6739</w:t>
            </w:r>
          </w:p>
        </w:tc>
        <w:tc>
          <w:tcPr>
            <w:tcW w:w="835"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0.0382</w:t>
            </w:r>
          </w:p>
        </w:tc>
        <w:tc>
          <w:tcPr>
            <w:tcW w:w="835"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3.1246</w:t>
            </w:r>
          </w:p>
        </w:tc>
      </w:tr>
      <w:tr>
        <w:tblPrEx>
          <w:tblCellMar>
            <w:top w:w="0" w:type="dxa"/>
            <w:left w:w="108" w:type="dxa"/>
            <w:bottom w:w="0" w:type="dxa"/>
            <w:right w:w="108" w:type="dxa"/>
          </w:tblCellMar>
        </w:tblPrEx>
        <w:trPr>
          <w:trHeight w:val="311" w:hRule="atLeast"/>
        </w:trPr>
        <w:tc>
          <w:tcPr>
            <w:tcW w:w="832" w:type="pct"/>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2017</w:t>
            </w:r>
          </w:p>
        </w:tc>
        <w:tc>
          <w:tcPr>
            <w:tcW w:w="832"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0.6097</w:t>
            </w:r>
          </w:p>
        </w:tc>
        <w:tc>
          <w:tcPr>
            <w:tcW w:w="832"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0.7272</w:t>
            </w:r>
          </w:p>
        </w:tc>
        <w:tc>
          <w:tcPr>
            <w:tcW w:w="832"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1.6996</w:t>
            </w:r>
          </w:p>
        </w:tc>
        <w:tc>
          <w:tcPr>
            <w:tcW w:w="835"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0.0381</w:t>
            </w:r>
          </w:p>
        </w:tc>
        <w:tc>
          <w:tcPr>
            <w:tcW w:w="835"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3.0746</w:t>
            </w:r>
          </w:p>
        </w:tc>
      </w:tr>
      <w:tr>
        <w:tblPrEx>
          <w:tblCellMar>
            <w:top w:w="0" w:type="dxa"/>
            <w:left w:w="108" w:type="dxa"/>
            <w:bottom w:w="0" w:type="dxa"/>
            <w:right w:w="108" w:type="dxa"/>
          </w:tblCellMar>
        </w:tblPrEx>
        <w:trPr>
          <w:trHeight w:val="311" w:hRule="atLeast"/>
        </w:trPr>
        <w:tc>
          <w:tcPr>
            <w:tcW w:w="832" w:type="pct"/>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2018</w:t>
            </w:r>
          </w:p>
        </w:tc>
        <w:tc>
          <w:tcPr>
            <w:tcW w:w="832"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0.6540</w:t>
            </w:r>
          </w:p>
        </w:tc>
        <w:tc>
          <w:tcPr>
            <w:tcW w:w="832"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0.7293</w:t>
            </w:r>
          </w:p>
        </w:tc>
        <w:tc>
          <w:tcPr>
            <w:tcW w:w="832"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1.8030</w:t>
            </w:r>
          </w:p>
        </w:tc>
        <w:tc>
          <w:tcPr>
            <w:tcW w:w="835"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0.0312</w:t>
            </w:r>
          </w:p>
        </w:tc>
        <w:tc>
          <w:tcPr>
            <w:tcW w:w="835"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3.2175</w:t>
            </w:r>
          </w:p>
        </w:tc>
      </w:tr>
      <w:tr>
        <w:tblPrEx>
          <w:tblCellMar>
            <w:top w:w="0" w:type="dxa"/>
            <w:left w:w="108" w:type="dxa"/>
            <w:bottom w:w="0" w:type="dxa"/>
            <w:right w:w="108" w:type="dxa"/>
          </w:tblCellMar>
        </w:tblPrEx>
        <w:trPr>
          <w:trHeight w:val="311" w:hRule="atLeast"/>
        </w:trPr>
        <w:tc>
          <w:tcPr>
            <w:tcW w:w="832" w:type="pct"/>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2019</w:t>
            </w:r>
          </w:p>
        </w:tc>
        <w:tc>
          <w:tcPr>
            <w:tcW w:w="832"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0.6903</w:t>
            </w:r>
          </w:p>
        </w:tc>
        <w:tc>
          <w:tcPr>
            <w:tcW w:w="832"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0.7231</w:t>
            </w:r>
          </w:p>
        </w:tc>
        <w:tc>
          <w:tcPr>
            <w:tcW w:w="832"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1.7697</w:t>
            </w:r>
          </w:p>
        </w:tc>
        <w:tc>
          <w:tcPr>
            <w:tcW w:w="835"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0.0354</w:t>
            </w:r>
          </w:p>
        </w:tc>
        <w:tc>
          <w:tcPr>
            <w:tcW w:w="835" w:type="pct"/>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3.2185</w:t>
            </w:r>
          </w:p>
        </w:tc>
      </w:tr>
      <w:tr>
        <w:tblPrEx>
          <w:tblCellMar>
            <w:top w:w="0" w:type="dxa"/>
            <w:left w:w="108" w:type="dxa"/>
            <w:bottom w:w="0" w:type="dxa"/>
            <w:right w:w="108" w:type="dxa"/>
          </w:tblCellMar>
        </w:tblPrEx>
        <w:trPr>
          <w:trHeight w:val="331" w:hRule="atLeast"/>
        </w:trPr>
        <w:tc>
          <w:tcPr>
            <w:tcW w:w="832"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2020</w:t>
            </w:r>
          </w:p>
        </w:tc>
        <w:tc>
          <w:tcPr>
            <w:tcW w:w="832"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0.7360</w:t>
            </w:r>
          </w:p>
        </w:tc>
        <w:tc>
          <w:tcPr>
            <w:tcW w:w="832"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0.3802</w:t>
            </w:r>
          </w:p>
        </w:tc>
        <w:tc>
          <w:tcPr>
            <w:tcW w:w="832"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2.1553</w:t>
            </w:r>
          </w:p>
        </w:tc>
        <w:tc>
          <w:tcPr>
            <w:tcW w:w="835"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0.0876</w:t>
            </w:r>
          </w:p>
        </w:tc>
        <w:tc>
          <w:tcPr>
            <w:tcW w:w="835"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3.3591</w:t>
            </w:r>
          </w:p>
        </w:tc>
      </w:tr>
    </w:tbl>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ascii="方正仿宋_GBK" w:hAnsi="宋体" w:eastAsia="方正仿宋_GBK"/>
          <w:sz w:val="32"/>
          <w:szCs w:val="32"/>
        </w:rPr>
      </w:pPr>
      <w:r>
        <w:rPr>
          <w:rFonts w:hint="eastAsia" w:ascii="方正仿宋_GBK" w:hAnsi="宋体" w:eastAsia="方正仿宋_GBK"/>
          <w:sz w:val="32"/>
          <w:szCs w:val="32"/>
          <w:lang w:val="en-US" w:eastAsia="zh-CN"/>
        </w:rPr>
        <w:t>1.3.2.4.1</w:t>
      </w:r>
      <w:r>
        <w:rPr>
          <w:rFonts w:hint="eastAsia" w:ascii="方正仿宋_GBK" w:hAnsi="宋体" w:eastAsia="方正仿宋_GBK"/>
          <w:sz w:val="32"/>
          <w:szCs w:val="32"/>
        </w:rPr>
        <w:t>农业</w:t>
      </w:r>
    </w:p>
    <w:p>
      <w:pPr>
        <w:keepNext w:val="0"/>
        <w:keepLines w:val="0"/>
        <w:pageBreakBefore w:val="0"/>
        <w:widowControl w:val="0"/>
        <w:kinsoku/>
        <w:wordWrap/>
        <w:overflowPunct/>
        <w:topLinePunct w:val="0"/>
        <w:autoSpaceDE/>
        <w:autoSpaceDN/>
        <w:bidi w:val="0"/>
        <w:snapToGrid w:val="0"/>
        <w:spacing w:line="276" w:lineRule="auto"/>
        <w:ind w:firstLine="640" w:firstLineChars="200"/>
        <w:textAlignment w:val="auto"/>
        <w:rPr>
          <w:rFonts w:ascii="方正仿宋_GBK" w:hAnsi="宋体" w:eastAsia="方正仿宋_GBK"/>
          <w:sz w:val="32"/>
          <w:szCs w:val="32"/>
        </w:rPr>
      </w:pPr>
      <w:r>
        <w:rPr>
          <w:rFonts w:hint="eastAsia" w:ascii="方正仿宋_GBK" w:hAnsi="宋体" w:eastAsia="方正仿宋_GBK"/>
          <w:sz w:val="32"/>
          <w:szCs w:val="32"/>
        </w:rPr>
        <w:t>农业（第一产业）用水包括农田灌溉与林业、畜牧业、渔业用水，农田灌溉用水又分为水田、水浇地、菜地用水，林、牧、渔业用水又分为林果地灌溉用水、大小牲畜生活用水，与</w:t>
      </w:r>
      <w:r>
        <w:rPr>
          <w:rFonts w:hint="eastAsia" w:ascii="方正仿宋_GBK" w:hAnsi="宋体" w:eastAsia="方正仿宋_GBK"/>
          <w:sz w:val="32"/>
          <w:szCs w:val="32"/>
          <w:lang w:eastAsia="zh-CN"/>
        </w:rPr>
        <w:t>鱼塘</w:t>
      </w:r>
      <w:r>
        <w:rPr>
          <w:rFonts w:hint="eastAsia" w:ascii="方正仿宋_GBK" w:hAnsi="宋体" w:eastAsia="方正仿宋_GBK"/>
          <w:sz w:val="32"/>
          <w:szCs w:val="32"/>
        </w:rPr>
        <w:t>补水三大项。各用水情况详见表1.3-5。</w:t>
      </w:r>
    </w:p>
    <w:p>
      <w:pPr>
        <w:keepNext w:val="0"/>
        <w:keepLines w:val="0"/>
        <w:pageBreakBefore w:val="0"/>
        <w:widowControl w:val="0"/>
        <w:kinsoku/>
        <w:wordWrap/>
        <w:overflowPunct/>
        <w:topLinePunct w:val="0"/>
        <w:autoSpaceDE/>
        <w:autoSpaceDN/>
        <w:bidi w:val="0"/>
        <w:snapToGrid w:val="0"/>
        <w:spacing w:beforeLines="0" w:afterLines="0" w:line="264" w:lineRule="auto"/>
        <w:jc w:val="center"/>
        <w:textAlignment w:val="auto"/>
        <w:rPr>
          <w:rFonts w:hint="eastAsia" w:ascii="方正楷体_GBK" w:hAnsi="方正楷体_GBK" w:eastAsia="方正楷体_GBK" w:cs="方正楷体_GBK"/>
          <w:sz w:val="30"/>
          <w:szCs w:val="30"/>
        </w:rPr>
      </w:pPr>
      <w:r>
        <w:rPr>
          <w:rFonts w:hint="eastAsia" w:ascii="方正楷体_GBK" w:hAnsi="方正楷体_GBK" w:eastAsia="方正楷体_GBK" w:cs="方正楷体_GBK"/>
          <w:sz w:val="30"/>
          <w:szCs w:val="30"/>
        </w:rPr>
        <w:t>表1.3-5  永川区2016～2020年农业用水量统计表</w:t>
      </w:r>
    </w:p>
    <w:p>
      <w:pPr>
        <w:keepNext w:val="0"/>
        <w:keepLines w:val="0"/>
        <w:pageBreakBefore w:val="0"/>
        <w:widowControl w:val="0"/>
        <w:kinsoku/>
        <w:wordWrap/>
        <w:overflowPunct/>
        <w:topLinePunct w:val="0"/>
        <w:autoSpaceDE/>
        <w:autoSpaceDN/>
        <w:bidi w:val="0"/>
        <w:snapToGrid w:val="0"/>
        <w:spacing w:line="276" w:lineRule="auto"/>
        <w:jc w:val="righ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  单位：万m³</w:t>
      </w:r>
    </w:p>
    <w:tbl>
      <w:tblPr>
        <w:tblStyle w:val="17"/>
        <w:tblW w:w="8937" w:type="dxa"/>
        <w:tblInd w:w="0" w:type="dxa"/>
        <w:tblLayout w:type="fixed"/>
        <w:tblCellMar>
          <w:top w:w="0" w:type="dxa"/>
          <w:left w:w="108" w:type="dxa"/>
          <w:bottom w:w="0" w:type="dxa"/>
          <w:right w:w="108" w:type="dxa"/>
        </w:tblCellMar>
      </w:tblPr>
      <w:tblGrid>
        <w:gridCol w:w="1788"/>
        <w:gridCol w:w="1788"/>
        <w:gridCol w:w="1787"/>
        <w:gridCol w:w="1787"/>
        <w:gridCol w:w="1787"/>
      </w:tblGrid>
      <w:tr>
        <w:tblPrEx>
          <w:tblCellMar>
            <w:top w:w="0" w:type="dxa"/>
            <w:left w:w="108" w:type="dxa"/>
            <w:bottom w:w="0" w:type="dxa"/>
            <w:right w:w="108" w:type="dxa"/>
          </w:tblCellMar>
        </w:tblPrEx>
        <w:trPr>
          <w:trHeight w:val="298" w:hRule="atLeast"/>
        </w:trPr>
        <w:tc>
          <w:tcPr>
            <w:tcW w:w="1788"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年份</w:t>
            </w:r>
          </w:p>
        </w:tc>
        <w:tc>
          <w:tcPr>
            <w:tcW w:w="1788" w:type="dxa"/>
            <w:tcBorders>
              <w:top w:val="single" w:color="auto" w:sz="4" w:space="0"/>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农田灌溉</w:t>
            </w:r>
          </w:p>
        </w:tc>
        <w:tc>
          <w:tcPr>
            <w:tcW w:w="1787" w:type="dxa"/>
            <w:tcBorders>
              <w:top w:val="single" w:color="auto" w:sz="4" w:space="0"/>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林果地灌溉</w:t>
            </w:r>
          </w:p>
        </w:tc>
        <w:tc>
          <w:tcPr>
            <w:tcW w:w="1787" w:type="dxa"/>
            <w:tcBorders>
              <w:top w:val="single" w:color="auto" w:sz="4" w:space="0"/>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鱼塘补水</w:t>
            </w:r>
          </w:p>
        </w:tc>
        <w:tc>
          <w:tcPr>
            <w:tcW w:w="1787" w:type="dxa"/>
            <w:tcBorders>
              <w:top w:val="single" w:color="auto" w:sz="4" w:space="0"/>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牲畜用水</w:t>
            </w:r>
          </w:p>
        </w:tc>
      </w:tr>
      <w:tr>
        <w:tblPrEx>
          <w:tblCellMar>
            <w:top w:w="0" w:type="dxa"/>
            <w:left w:w="108" w:type="dxa"/>
            <w:bottom w:w="0" w:type="dxa"/>
            <w:right w:w="108" w:type="dxa"/>
          </w:tblCellMar>
        </w:tblPrEx>
        <w:trPr>
          <w:trHeight w:val="298" w:hRule="atLeast"/>
        </w:trPr>
        <w:tc>
          <w:tcPr>
            <w:tcW w:w="1788" w:type="dxa"/>
            <w:tcBorders>
              <w:top w:val="nil"/>
              <w:left w:val="single" w:color="auto" w:sz="4" w:space="0"/>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2016</w:t>
            </w:r>
          </w:p>
        </w:tc>
        <w:tc>
          <w:tcPr>
            <w:tcW w:w="1788" w:type="dxa"/>
            <w:tcBorders>
              <w:top w:val="nil"/>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13473</w:t>
            </w:r>
          </w:p>
        </w:tc>
        <w:tc>
          <w:tcPr>
            <w:tcW w:w="1787" w:type="dxa"/>
            <w:tcBorders>
              <w:top w:val="nil"/>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118</w:t>
            </w:r>
          </w:p>
        </w:tc>
        <w:tc>
          <w:tcPr>
            <w:tcW w:w="1787" w:type="dxa"/>
            <w:tcBorders>
              <w:top w:val="nil"/>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2266</w:t>
            </w:r>
          </w:p>
        </w:tc>
        <w:tc>
          <w:tcPr>
            <w:tcW w:w="1787" w:type="dxa"/>
            <w:tcBorders>
              <w:top w:val="nil"/>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881</w:t>
            </w:r>
          </w:p>
        </w:tc>
      </w:tr>
      <w:tr>
        <w:tblPrEx>
          <w:tblCellMar>
            <w:top w:w="0" w:type="dxa"/>
            <w:left w:w="108" w:type="dxa"/>
            <w:bottom w:w="0" w:type="dxa"/>
            <w:right w:w="108" w:type="dxa"/>
          </w:tblCellMar>
        </w:tblPrEx>
        <w:trPr>
          <w:trHeight w:val="298" w:hRule="atLeast"/>
        </w:trPr>
        <w:tc>
          <w:tcPr>
            <w:tcW w:w="1788" w:type="dxa"/>
            <w:tcBorders>
              <w:top w:val="nil"/>
              <w:left w:val="single" w:color="auto" w:sz="4" w:space="0"/>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2017</w:t>
            </w:r>
          </w:p>
        </w:tc>
        <w:tc>
          <w:tcPr>
            <w:tcW w:w="1788" w:type="dxa"/>
            <w:tcBorders>
              <w:top w:val="nil"/>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13214</w:t>
            </w:r>
          </w:p>
        </w:tc>
        <w:tc>
          <w:tcPr>
            <w:tcW w:w="1787" w:type="dxa"/>
            <w:tcBorders>
              <w:top w:val="nil"/>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823</w:t>
            </w:r>
          </w:p>
        </w:tc>
        <w:tc>
          <w:tcPr>
            <w:tcW w:w="1787" w:type="dxa"/>
            <w:tcBorders>
              <w:top w:val="nil"/>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2258</w:t>
            </w:r>
          </w:p>
        </w:tc>
        <w:tc>
          <w:tcPr>
            <w:tcW w:w="1787" w:type="dxa"/>
            <w:tcBorders>
              <w:top w:val="nil"/>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702</w:t>
            </w:r>
          </w:p>
        </w:tc>
      </w:tr>
      <w:tr>
        <w:tblPrEx>
          <w:tblCellMar>
            <w:top w:w="0" w:type="dxa"/>
            <w:left w:w="108" w:type="dxa"/>
            <w:bottom w:w="0" w:type="dxa"/>
            <w:right w:w="108" w:type="dxa"/>
          </w:tblCellMar>
        </w:tblPrEx>
        <w:trPr>
          <w:trHeight w:val="298" w:hRule="atLeast"/>
        </w:trPr>
        <w:tc>
          <w:tcPr>
            <w:tcW w:w="1788" w:type="dxa"/>
            <w:tcBorders>
              <w:top w:val="nil"/>
              <w:left w:val="single" w:color="auto" w:sz="4" w:space="0"/>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2018</w:t>
            </w:r>
          </w:p>
        </w:tc>
        <w:tc>
          <w:tcPr>
            <w:tcW w:w="1788" w:type="dxa"/>
            <w:tcBorders>
              <w:top w:val="nil"/>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14074</w:t>
            </w:r>
          </w:p>
        </w:tc>
        <w:tc>
          <w:tcPr>
            <w:tcW w:w="1787" w:type="dxa"/>
            <w:tcBorders>
              <w:top w:val="nil"/>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1020</w:t>
            </w:r>
          </w:p>
        </w:tc>
        <w:tc>
          <w:tcPr>
            <w:tcW w:w="1787" w:type="dxa"/>
            <w:tcBorders>
              <w:top w:val="nil"/>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2422</w:t>
            </w:r>
          </w:p>
        </w:tc>
        <w:tc>
          <w:tcPr>
            <w:tcW w:w="1787" w:type="dxa"/>
            <w:tcBorders>
              <w:top w:val="nil"/>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513</w:t>
            </w:r>
          </w:p>
        </w:tc>
      </w:tr>
      <w:tr>
        <w:tblPrEx>
          <w:tblCellMar>
            <w:top w:w="0" w:type="dxa"/>
            <w:left w:w="108" w:type="dxa"/>
            <w:bottom w:w="0" w:type="dxa"/>
            <w:right w:w="108" w:type="dxa"/>
          </w:tblCellMar>
        </w:tblPrEx>
        <w:trPr>
          <w:trHeight w:val="298" w:hRule="atLeast"/>
        </w:trPr>
        <w:tc>
          <w:tcPr>
            <w:tcW w:w="1788" w:type="dxa"/>
            <w:tcBorders>
              <w:top w:val="nil"/>
              <w:left w:val="single" w:color="auto" w:sz="4" w:space="0"/>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2019</w:t>
            </w:r>
          </w:p>
        </w:tc>
        <w:tc>
          <w:tcPr>
            <w:tcW w:w="1788" w:type="dxa"/>
            <w:tcBorders>
              <w:top w:val="nil"/>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13842</w:t>
            </w:r>
          </w:p>
        </w:tc>
        <w:tc>
          <w:tcPr>
            <w:tcW w:w="1787" w:type="dxa"/>
            <w:tcBorders>
              <w:top w:val="nil"/>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874</w:t>
            </w:r>
          </w:p>
        </w:tc>
        <w:tc>
          <w:tcPr>
            <w:tcW w:w="1787" w:type="dxa"/>
            <w:tcBorders>
              <w:top w:val="nil"/>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2823</w:t>
            </w:r>
          </w:p>
        </w:tc>
        <w:tc>
          <w:tcPr>
            <w:tcW w:w="1787" w:type="dxa"/>
            <w:tcBorders>
              <w:top w:val="nil"/>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158</w:t>
            </w:r>
          </w:p>
        </w:tc>
      </w:tr>
      <w:tr>
        <w:tblPrEx>
          <w:tblCellMar>
            <w:top w:w="0" w:type="dxa"/>
            <w:left w:w="108" w:type="dxa"/>
            <w:bottom w:w="0" w:type="dxa"/>
            <w:right w:w="108" w:type="dxa"/>
          </w:tblCellMar>
        </w:tblPrEx>
        <w:trPr>
          <w:trHeight w:val="308" w:hRule="atLeast"/>
        </w:trPr>
        <w:tc>
          <w:tcPr>
            <w:tcW w:w="1788"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2020</w:t>
            </w:r>
          </w:p>
        </w:tc>
        <w:tc>
          <w:tcPr>
            <w:tcW w:w="1788" w:type="dxa"/>
            <w:tcBorders>
              <w:top w:val="single" w:color="auto" w:sz="4" w:space="0"/>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12956</w:t>
            </w:r>
          </w:p>
        </w:tc>
        <w:tc>
          <w:tcPr>
            <w:tcW w:w="1787" w:type="dxa"/>
            <w:tcBorders>
              <w:top w:val="single" w:color="auto" w:sz="4" w:space="0"/>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958</w:t>
            </w:r>
          </w:p>
        </w:tc>
        <w:tc>
          <w:tcPr>
            <w:tcW w:w="1787" w:type="dxa"/>
            <w:tcBorders>
              <w:top w:val="single" w:color="auto" w:sz="4" w:space="0"/>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7295</w:t>
            </w:r>
          </w:p>
        </w:tc>
        <w:tc>
          <w:tcPr>
            <w:tcW w:w="1787" w:type="dxa"/>
            <w:tcBorders>
              <w:top w:val="single" w:color="auto" w:sz="4" w:space="0"/>
              <w:left w:val="nil"/>
              <w:bottom w:val="single" w:color="auto" w:sz="4" w:space="0"/>
              <w:right w:val="single" w:color="auto" w:sz="4"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344</w:t>
            </w:r>
          </w:p>
        </w:tc>
      </w:tr>
    </w:tbl>
    <w:p>
      <w:pPr>
        <w:keepNext w:val="0"/>
        <w:keepLines w:val="0"/>
        <w:pageBreakBefore w:val="0"/>
        <w:widowControl w:val="0"/>
        <w:kinsoku/>
        <w:wordWrap/>
        <w:overflowPunct/>
        <w:topLinePunct w:val="0"/>
        <w:autoSpaceDE/>
        <w:autoSpaceDN/>
        <w:bidi w:val="0"/>
        <w:snapToGrid w:val="0"/>
        <w:spacing w:line="276" w:lineRule="auto"/>
        <w:ind w:firstLine="640" w:firstLineChars="200"/>
        <w:textAlignment w:val="auto"/>
        <w:rPr>
          <w:rFonts w:ascii="方正仿宋_GBK" w:hAnsi="宋体" w:eastAsia="方正仿宋_GBK"/>
          <w:sz w:val="32"/>
          <w:szCs w:val="32"/>
        </w:rPr>
      </w:pPr>
      <w:r>
        <w:rPr>
          <w:rFonts w:hint="eastAsia" w:ascii="方正仿宋_GBK" w:hAnsi="宋体" w:eastAsia="方正仿宋_GBK"/>
          <w:sz w:val="32"/>
          <w:szCs w:val="32"/>
        </w:rPr>
        <w:t>从上表可以看出，在近年来，永川区在林牧渔畜方面投资正在不断增加，农业产业结构正在不断的变化。在</w:t>
      </w:r>
      <w:r>
        <w:rPr>
          <w:rFonts w:hint="eastAsia" w:ascii="方正仿宋_GBK" w:hAnsi="宋体" w:eastAsia="方正仿宋_GBK"/>
          <w:sz w:val="32"/>
          <w:szCs w:val="32"/>
          <w:lang w:eastAsia="zh-CN"/>
        </w:rPr>
        <w:t>“</w:t>
      </w:r>
      <w:r>
        <w:rPr>
          <w:rFonts w:hint="eastAsia" w:ascii="方正仿宋_GBK" w:hAnsi="宋体" w:eastAsia="方正仿宋_GBK"/>
          <w:sz w:val="32"/>
          <w:szCs w:val="32"/>
        </w:rPr>
        <w:t>十三五</w:t>
      </w:r>
      <w:r>
        <w:rPr>
          <w:rFonts w:hint="eastAsia" w:ascii="方正仿宋_GBK" w:hAnsi="宋体" w:eastAsia="方正仿宋_GBK"/>
          <w:sz w:val="32"/>
          <w:szCs w:val="32"/>
          <w:lang w:eastAsia="zh-CN"/>
        </w:rPr>
        <w:t>”</w:t>
      </w:r>
      <w:r>
        <w:rPr>
          <w:rFonts w:hint="eastAsia" w:ascii="方正仿宋_GBK" w:hAnsi="宋体" w:eastAsia="方正仿宋_GBK"/>
          <w:sz w:val="32"/>
          <w:szCs w:val="32"/>
        </w:rPr>
        <w:t>期间，永川区水利工程的建设不</w:t>
      </w:r>
      <w:r>
        <w:rPr>
          <w:rFonts w:hint="eastAsia" w:ascii="方正仿宋_GBK" w:hAnsi="宋体" w:eastAsia="方正仿宋_GBK"/>
          <w:sz w:val="32"/>
          <w:szCs w:val="32"/>
          <w:lang w:eastAsia="zh-CN"/>
        </w:rPr>
        <w:t>仅</w:t>
      </w:r>
      <w:r>
        <w:rPr>
          <w:rFonts w:hint="eastAsia" w:ascii="方正仿宋_GBK" w:hAnsi="宋体" w:eastAsia="方正仿宋_GBK"/>
          <w:sz w:val="32"/>
          <w:szCs w:val="32"/>
        </w:rPr>
        <w:t>稳抓传统农业水利设施建设，也注重农副产业的基础设施建设。在</w:t>
      </w:r>
      <w:r>
        <w:rPr>
          <w:rFonts w:hint="eastAsia" w:ascii="方正仿宋_GBK" w:hAnsi="宋体" w:eastAsia="方正仿宋_GBK"/>
          <w:sz w:val="32"/>
          <w:szCs w:val="32"/>
          <w:lang w:eastAsia="zh-CN"/>
        </w:rPr>
        <w:t>“</w:t>
      </w:r>
      <w:r>
        <w:rPr>
          <w:rFonts w:hint="eastAsia" w:ascii="方正仿宋_GBK" w:hAnsi="宋体" w:eastAsia="方正仿宋_GBK"/>
          <w:sz w:val="32"/>
          <w:szCs w:val="32"/>
        </w:rPr>
        <w:t>十三五</w:t>
      </w:r>
      <w:r>
        <w:rPr>
          <w:rFonts w:hint="eastAsia" w:ascii="方正仿宋_GBK" w:hAnsi="宋体" w:eastAsia="方正仿宋_GBK"/>
          <w:sz w:val="32"/>
          <w:szCs w:val="32"/>
          <w:lang w:eastAsia="zh-CN"/>
        </w:rPr>
        <w:t>”</w:t>
      </w:r>
      <w:r>
        <w:rPr>
          <w:rFonts w:hint="eastAsia" w:ascii="方正仿宋_GBK" w:hAnsi="宋体" w:eastAsia="方正仿宋_GBK"/>
          <w:sz w:val="32"/>
          <w:szCs w:val="32"/>
        </w:rPr>
        <w:t>期间，永川区灌溉水利用系数从0.489提升到0.5082，逐步降低了灌溉用水需求，同时林牧渔畜用水量不断增加，使得永川区农业用水量处于相对平稳阶段。</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ascii="方正仿宋_GBK" w:hAnsi="宋体" w:eastAsia="方正仿宋_GBK"/>
          <w:sz w:val="32"/>
          <w:szCs w:val="32"/>
        </w:rPr>
      </w:pPr>
      <w:r>
        <w:rPr>
          <w:rFonts w:hint="eastAsia" w:ascii="方正仿宋_GBK" w:hAnsi="宋体" w:eastAsia="方正仿宋_GBK"/>
          <w:sz w:val="32"/>
          <w:szCs w:val="32"/>
          <w:lang w:val="en-US" w:eastAsia="zh-CN"/>
        </w:rPr>
        <w:t>1.3.2.4.2</w:t>
      </w:r>
      <w:r>
        <w:rPr>
          <w:rFonts w:hint="eastAsia" w:ascii="方正仿宋_GBK" w:hAnsi="宋体" w:eastAsia="方正仿宋_GBK"/>
          <w:sz w:val="32"/>
          <w:szCs w:val="32"/>
        </w:rPr>
        <w:t>工业</w:t>
      </w:r>
    </w:p>
    <w:p>
      <w:pPr>
        <w:keepNext w:val="0"/>
        <w:keepLines w:val="0"/>
        <w:pageBreakBefore w:val="0"/>
        <w:widowControl w:val="0"/>
        <w:kinsoku/>
        <w:wordWrap/>
        <w:overflowPunct/>
        <w:topLinePunct w:val="0"/>
        <w:autoSpaceDE/>
        <w:autoSpaceDN/>
        <w:bidi w:val="0"/>
        <w:snapToGrid w:val="0"/>
        <w:spacing w:line="276" w:lineRule="auto"/>
        <w:ind w:firstLine="640" w:firstLineChars="200"/>
        <w:textAlignment w:val="auto"/>
        <w:rPr>
          <w:rFonts w:ascii="方正仿宋_GBK" w:hAnsi="宋体" w:eastAsia="方正仿宋_GBK"/>
          <w:sz w:val="32"/>
          <w:szCs w:val="32"/>
        </w:rPr>
      </w:pPr>
      <w:r>
        <w:rPr>
          <w:rFonts w:hint="eastAsia" w:ascii="方正仿宋_GBK" w:hAnsi="宋体" w:eastAsia="方正仿宋_GBK"/>
          <w:sz w:val="32"/>
          <w:szCs w:val="32"/>
        </w:rPr>
        <w:t>工业用水包括火力发电，高用水工业和一般工业用水，并将城镇工业用水单列，均按新水量进行调查统计。永川区2016～2020年工业用水量见表1.3-6。</w:t>
      </w:r>
    </w:p>
    <w:p>
      <w:pPr>
        <w:keepNext w:val="0"/>
        <w:keepLines w:val="0"/>
        <w:pageBreakBefore w:val="0"/>
        <w:widowControl w:val="0"/>
        <w:kinsoku/>
        <w:wordWrap/>
        <w:overflowPunct/>
        <w:topLinePunct w:val="0"/>
        <w:autoSpaceDE/>
        <w:autoSpaceDN/>
        <w:bidi w:val="0"/>
        <w:snapToGrid w:val="0"/>
        <w:spacing w:beforeLines="0" w:afterLines="0" w:line="264" w:lineRule="auto"/>
        <w:jc w:val="center"/>
        <w:textAlignment w:val="auto"/>
        <w:rPr>
          <w:rFonts w:hint="eastAsia" w:ascii="方正楷体_GBK" w:hAnsi="方正楷体_GBK" w:eastAsia="方正楷体_GBK" w:cs="方正楷体_GBK"/>
          <w:sz w:val="30"/>
          <w:szCs w:val="30"/>
        </w:rPr>
      </w:pPr>
      <w:r>
        <w:rPr>
          <w:rFonts w:hint="eastAsia" w:ascii="方正楷体_GBK" w:hAnsi="方正楷体_GBK" w:eastAsia="方正楷体_GBK" w:cs="方正楷体_GBK"/>
          <w:sz w:val="30"/>
          <w:szCs w:val="30"/>
        </w:rPr>
        <w:t>表1.3-6  永川区2016～2020年工业用</w:t>
      </w:r>
      <w:r>
        <w:rPr>
          <w:rFonts w:hint="eastAsia" w:ascii="方正楷体_GBK" w:hAnsi="方正楷体_GBK" w:eastAsia="方正楷体_GBK" w:cs="方正楷体_GBK"/>
          <w:sz w:val="30"/>
          <w:szCs w:val="30"/>
          <w:lang w:eastAsia="zh-CN"/>
        </w:rPr>
        <w:t>水量</w:t>
      </w:r>
      <w:r>
        <w:rPr>
          <w:rFonts w:hint="eastAsia" w:ascii="方正楷体_GBK" w:hAnsi="方正楷体_GBK" w:eastAsia="方正楷体_GBK" w:cs="方正楷体_GBK"/>
          <w:sz w:val="30"/>
          <w:szCs w:val="30"/>
        </w:rPr>
        <w:t>统计表</w:t>
      </w:r>
    </w:p>
    <w:p>
      <w:pPr>
        <w:keepNext w:val="0"/>
        <w:keepLines w:val="0"/>
        <w:pageBreakBefore w:val="0"/>
        <w:widowControl w:val="0"/>
        <w:kinsoku/>
        <w:wordWrap/>
        <w:overflowPunct/>
        <w:topLinePunct w:val="0"/>
        <w:autoSpaceDE/>
        <w:autoSpaceDN/>
        <w:bidi w:val="0"/>
        <w:snapToGrid w:val="0"/>
        <w:spacing w:line="240" w:lineRule="auto"/>
        <w:jc w:val="righ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单位：万m³</w:t>
      </w:r>
    </w:p>
    <w:tbl>
      <w:tblPr>
        <w:tblStyle w:val="17"/>
        <w:tblW w:w="8818" w:type="dxa"/>
        <w:jc w:val="center"/>
        <w:tblLayout w:type="fixed"/>
        <w:tblCellMar>
          <w:top w:w="0" w:type="dxa"/>
          <w:left w:w="108" w:type="dxa"/>
          <w:bottom w:w="0" w:type="dxa"/>
          <w:right w:w="108" w:type="dxa"/>
        </w:tblCellMar>
      </w:tblPr>
      <w:tblGrid>
        <w:gridCol w:w="2204"/>
        <w:gridCol w:w="2204"/>
        <w:gridCol w:w="2205"/>
        <w:gridCol w:w="2205"/>
      </w:tblGrid>
      <w:tr>
        <w:tblPrEx>
          <w:tblCellMar>
            <w:top w:w="0" w:type="dxa"/>
            <w:left w:w="108" w:type="dxa"/>
            <w:bottom w:w="0" w:type="dxa"/>
            <w:right w:w="108" w:type="dxa"/>
          </w:tblCellMar>
        </w:tblPrEx>
        <w:trPr>
          <w:trHeight w:val="351"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年份</w:t>
            </w:r>
          </w:p>
        </w:tc>
        <w:tc>
          <w:tcPr>
            <w:tcW w:w="220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火电</w:t>
            </w:r>
          </w:p>
        </w:tc>
        <w:tc>
          <w:tcPr>
            <w:tcW w:w="2205"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工业（不含火电）</w:t>
            </w:r>
          </w:p>
        </w:tc>
        <w:tc>
          <w:tcPr>
            <w:tcW w:w="2205"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合计</w:t>
            </w:r>
          </w:p>
        </w:tc>
      </w:tr>
      <w:tr>
        <w:tblPrEx>
          <w:tblCellMar>
            <w:top w:w="0" w:type="dxa"/>
            <w:left w:w="108" w:type="dxa"/>
            <w:bottom w:w="0" w:type="dxa"/>
            <w:right w:w="108" w:type="dxa"/>
          </w:tblCellMar>
        </w:tblPrEx>
        <w:trPr>
          <w:trHeight w:val="351" w:hRule="atLeast"/>
          <w:jc w:val="center"/>
        </w:trPr>
        <w:tc>
          <w:tcPr>
            <w:tcW w:w="2204"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2016</w:t>
            </w:r>
          </w:p>
        </w:tc>
        <w:tc>
          <w:tcPr>
            <w:tcW w:w="220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346</w:t>
            </w:r>
          </w:p>
        </w:tc>
        <w:tc>
          <w:tcPr>
            <w:tcW w:w="22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7101</w:t>
            </w:r>
          </w:p>
        </w:tc>
        <w:tc>
          <w:tcPr>
            <w:tcW w:w="22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7447</w:t>
            </w:r>
          </w:p>
        </w:tc>
      </w:tr>
      <w:tr>
        <w:tblPrEx>
          <w:tblCellMar>
            <w:top w:w="0" w:type="dxa"/>
            <w:left w:w="108" w:type="dxa"/>
            <w:bottom w:w="0" w:type="dxa"/>
            <w:right w:w="108" w:type="dxa"/>
          </w:tblCellMar>
        </w:tblPrEx>
        <w:trPr>
          <w:trHeight w:val="351" w:hRule="atLeast"/>
          <w:jc w:val="center"/>
        </w:trPr>
        <w:tc>
          <w:tcPr>
            <w:tcW w:w="2204"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2017</w:t>
            </w:r>
          </w:p>
        </w:tc>
        <w:tc>
          <w:tcPr>
            <w:tcW w:w="220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326</w:t>
            </w:r>
          </w:p>
        </w:tc>
        <w:tc>
          <w:tcPr>
            <w:tcW w:w="22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7398</w:t>
            </w:r>
          </w:p>
        </w:tc>
        <w:tc>
          <w:tcPr>
            <w:tcW w:w="22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7724</w:t>
            </w:r>
          </w:p>
        </w:tc>
      </w:tr>
      <w:tr>
        <w:tblPrEx>
          <w:tblCellMar>
            <w:top w:w="0" w:type="dxa"/>
            <w:left w:w="108" w:type="dxa"/>
            <w:bottom w:w="0" w:type="dxa"/>
            <w:right w:w="108" w:type="dxa"/>
          </w:tblCellMar>
        </w:tblPrEx>
        <w:trPr>
          <w:trHeight w:val="351" w:hRule="atLeast"/>
          <w:jc w:val="center"/>
        </w:trPr>
        <w:tc>
          <w:tcPr>
            <w:tcW w:w="2204"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2018</w:t>
            </w:r>
          </w:p>
        </w:tc>
        <w:tc>
          <w:tcPr>
            <w:tcW w:w="220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411</w:t>
            </w:r>
          </w:p>
        </w:tc>
        <w:tc>
          <w:tcPr>
            <w:tcW w:w="22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7387</w:t>
            </w:r>
          </w:p>
        </w:tc>
        <w:tc>
          <w:tcPr>
            <w:tcW w:w="22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7798</w:t>
            </w:r>
          </w:p>
        </w:tc>
      </w:tr>
      <w:tr>
        <w:tblPrEx>
          <w:tblCellMar>
            <w:top w:w="0" w:type="dxa"/>
            <w:left w:w="108" w:type="dxa"/>
            <w:bottom w:w="0" w:type="dxa"/>
            <w:right w:w="108" w:type="dxa"/>
          </w:tblCellMar>
        </w:tblPrEx>
        <w:trPr>
          <w:trHeight w:val="351" w:hRule="atLeast"/>
          <w:jc w:val="center"/>
        </w:trPr>
        <w:tc>
          <w:tcPr>
            <w:tcW w:w="2204"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2019</w:t>
            </w:r>
          </w:p>
        </w:tc>
        <w:tc>
          <w:tcPr>
            <w:tcW w:w="220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431</w:t>
            </w:r>
          </w:p>
        </w:tc>
        <w:tc>
          <w:tcPr>
            <w:tcW w:w="22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6694</w:t>
            </w:r>
          </w:p>
        </w:tc>
        <w:tc>
          <w:tcPr>
            <w:tcW w:w="22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7231</w:t>
            </w:r>
          </w:p>
        </w:tc>
      </w:tr>
      <w:tr>
        <w:tblPrEx>
          <w:tblCellMar>
            <w:top w:w="0" w:type="dxa"/>
            <w:left w:w="108" w:type="dxa"/>
            <w:bottom w:w="0" w:type="dxa"/>
            <w:right w:w="108" w:type="dxa"/>
          </w:tblCellMar>
        </w:tblPrEx>
        <w:trPr>
          <w:trHeight w:val="371"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2020</w:t>
            </w:r>
          </w:p>
        </w:tc>
        <w:tc>
          <w:tcPr>
            <w:tcW w:w="220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140</w:t>
            </w:r>
          </w:p>
        </w:tc>
        <w:tc>
          <w:tcPr>
            <w:tcW w:w="2205"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3662</w:t>
            </w:r>
          </w:p>
        </w:tc>
        <w:tc>
          <w:tcPr>
            <w:tcW w:w="2205"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3802</w:t>
            </w:r>
          </w:p>
        </w:tc>
      </w:tr>
    </w:tbl>
    <w:p>
      <w:pPr>
        <w:keepNext w:val="0"/>
        <w:keepLines w:val="0"/>
        <w:pageBreakBefore w:val="0"/>
        <w:widowControl w:val="0"/>
        <w:kinsoku/>
        <w:wordWrap/>
        <w:overflowPunct/>
        <w:topLinePunct w:val="0"/>
        <w:autoSpaceDE/>
        <w:autoSpaceDN/>
        <w:bidi w:val="0"/>
        <w:adjustRightInd/>
        <w:snapToGrid w:val="0"/>
        <w:spacing w:line="276" w:lineRule="auto"/>
        <w:ind w:firstLine="640" w:firstLineChars="200"/>
        <w:textAlignment w:val="auto"/>
        <w:rPr>
          <w:rFonts w:hint="eastAsia" w:ascii="方正仿宋_GBK" w:hAnsi="宋体" w:eastAsia="方正仿宋_GBK"/>
          <w:sz w:val="32"/>
          <w:szCs w:val="32"/>
        </w:rPr>
      </w:pPr>
      <w:r>
        <w:rPr>
          <w:rFonts w:hint="eastAsia" w:ascii="方正仿宋_GBK" w:hAnsi="宋体" w:eastAsia="方正仿宋_GBK"/>
          <w:sz w:val="32"/>
          <w:szCs w:val="32"/>
        </w:rPr>
        <w:t>由上表可看出，近年来永川区工业虽然在不断的发展，工业增加值逐年稳步上升，但工业用水已经取得明显成效，现万元工业增加值用水量较2015年下降为18.14%，已领先与多数区县。永川区工业用水量处于小幅度上升阶段。</w:t>
      </w:r>
    </w:p>
    <w:p>
      <w:pPr>
        <w:keepNext w:val="0"/>
        <w:keepLines w:val="0"/>
        <w:pageBreakBefore w:val="0"/>
        <w:widowControl w:val="0"/>
        <w:kinsoku/>
        <w:wordWrap/>
        <w:overflowPunct/>
        <w:topLinePunct w:val="0"/>
        <w:autoSpaceDE/>
        <w:autoSpaceDN/>
        <w:bidi w:val="0"/>
        <w:adjustRightInd/>
        <w:snapToGrid w:val="0"/>
        <w:spacing w:line="276" w:lineRule="auto"/>
        <w:ind w:firstLine="640" w:firstLineChars="200"/>
        <w:textAlignment w:val="auto"/>
        <w:rPr>
          <w:rFonts w:hint="eastAsia" w:ascii="方正仿宋_GBK" w:hAnsi="宋体" w:eastAsia="方正仿宋_GBK"/>
          <w:sz w:val="32"/>
          <w:szCs w:val="32"/>
        </w:rPr>
      </w:pPr>
      <w:r>
        <w:rPr>
          <w:rFonts w:hint="eastAsia" w:ascii="方正仿宋_GBK" w:hAnsi="宋体" w:eastAsia="方正仿宋_GBK"/>
          <w:sz w:val="32"/>
          <w:szCs w:val="32"/>
          <w:lang w:val="en-US" w:eastAsia="zh-CN"/>
        </w:rPr>
        <w:t>1.3.2.4.3</w:t>
      </w:r>
      <w:r>
        <w:rPr>
          <w:rFonts w:hint="eastAsia" w:ascii="方正仿宋_GBK" w:hAnsi="宋体" w:eastAsia="方正仿宋_GBK"/>
          <w:sz w:val="32"/>
          <w:szCs w:val="32"/>
        </w:rPr>
        <w:t>生活综合</w:t>
      </w:r>
    </w:p>
    <w:p>
      <w:pPr>
        <w:keepNext w:val="0"/>
        <w:keepLines w:val="0"/>
        <w:pageBreakBefore w:val="0"/>
        <w:widowControl w:val="0"/>
        <w:kinsoku/>
        <w:wordWrap/>
        <w:overflowPunct/>
        <w:topLinePunct w:val="0"/>
        <w:autoSpaceDE/>
        <w:autoSpaceDN/>
        <w:bidi w:val="0"/>
        <w:adjustRightInd/>
        <w:snapToGrid w:val="0"/>
        <w:spacing w:line="276" w:lineRule="auto"/>
        <w:ind w:firstLine="640" w:firstLineChars="200"/>
        <w:textAlignment w:val="auto"/>
        <w:rPr>
          <w:rFonts w:hint="eastAsia" w:ascii="方正仿宋_GBK" w:hAnsi="宋体" w:eastAsia="方正仿宋_GBK"/>
          <w:sz w:val="32"/>
          <w:szCs w:val="32"/>
        </w:rPr>
      </w:pPr>
      <w:r>
        <w:rPr>
          <w:rFonts w:hint="eastAsia" w:ascii="方正仿宋_GBK" w:hAnsi="宋体" w:eastAsia="方正仿宋_GBK"/>
          <w:sz w:val="32"/>
          <w:szCs w:val="32"/>
        </w:rPr>
        <w:t>生活用水量包括城镇生活用水量和农村生活用水量，城镇生活用水量包括城镇居民生活用水量、公共（建筑业、商饮业、服务业）用水量和城区生态环卫（绿化与环境卫生）用水量；农村生活用水量为农村居民生活用水量。永川区2016～2020年生活用水量见表1.3-7。</w:t>
      </w:r>
    </w:p>
    <w:p>
      <w:pPr>
        <w:keepNext w:val="0"/>
        <w:keepLines w:val="0"/>
        <w:pageBreakBefore w:val="0"/>
        <w:widowControl w:val="0"/>
        <w:kinsoku/>
        <w:wordWrap/>
        <w:overflowPunct/>
        <w:topLinePunct w:val="0"/>
        <w:autoSpaceDE/>
        <w:autoSpaceDN/>
        <w:bidi w:val="0"/>
        <w:snapToGrid w:val="0"/>
        <w:spacing w:beforeLines="0" w:afterLines="0" w:line="264" w:lineRule="auto"/>
        <w:jc w:val="center"/>
        <w:textAlignment w:val="auto"/>
        <w:rPr>
          <w:rFonts w:hint="eastAsia" w:ascii="方正楷体_GBK" w:hAnsi="方正楷体_GBK" w:eastAsia="方正楷体_GBK" w:cs="方正楷体_GBK"/>
          <w:sz w:val="30"/>
          <w:szCs w:val="30"/>
        </w:rPr>
      </w:pPr>
      <w:r>
        <w:rPr>
          <w:rFonts w:hint="eastAsia" w:ascii="方正楷体_GBK" w:hAnsi="方正楷体_GBK" w:eastAsia="方正楷体_GBK" w:cs="方正楷体_GBK"/>
          <w:sz w:val="30"/>
          <w:szCs w:val="30"/>
        </w:rPr>
        <w:t>表1.3-7  永川区2016～2020年生活综合用水量</w:t>
      </w:r>
    </w:p>
    <w:p>
      <w:pPr>
        <w:keepNext w:val="0"/>
        <w:keepLines w:val="0"/>
        <w:pageBreakBefore w:val="0"/>
        <w:widowControl w:val="0"/>
        <w:kinsoku/>
        <w:wordWrap/>
        <w:overflowPunct/>
        <w:topLinePunct w:val="0"/>
        <w:autoSpaceDE/>
        <w:autoSpaceDN/>
        <w:bidi w:val="0"/>
        <w:snapToGrid w:val="0"/>
        <w:spacing w:line="240" w:lineRule="auto"/>
        <w:jc w:val="righ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单位：万m³</w:t>
      </w:r>
    </w:p>
    <w:tbl>
      <w:tblPr>
        <w:tblStyle w:val="17"/>
        <w:tblW w:w="8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2229"/>
        <w:gridCol w:w="2230"/>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29" w:type="dxa"/>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2"/>
              </w:rPr>
            </w:pPr>
            <w:r>
              <w:rPr>
                <w:rFonts w:hint="eastAsia" w:ascii="方正黑体_GBK" w:hAnsi="方正黑体_GBK" w:eastAsia="方正黑体_GBK" w:cs="方正黑体_GBK"/>
                <w:kern w:val="0"/>
                <w:sz w:val="22"/>
              </w:rPr>
              <w:t>年份</w:t>
            </w:r>
          </w:p>
        </w:tc>
        <w:tc>
          <w:tcPr>
            <w:tcW w:w="2229" w:type="dxa"/>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2"/>
              </w:rPr>
            </w:pPr>
            <w:r>
              <w:rPr>
                <w:rFonts w:hint="eastAsia" w:ascii="方正黑体_GBK" w:hAnsi="方正黑体_GBK" w:eastAsia="方正黑体_GBK" w:cs="方正黑体_GBK"/>
                <w:kern w:val="0"/>
                <w:sz w:val="22"/>
              </w:rPr>
              <w:t>生活</w:t>
            </w:r>
          </w:p>
        </w:tc>
        <w:tc>
          <w:tcPr>
            <w:tcW w:w="2230" w:type="dxa"/>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2"/>
              </w:rPr>
            </w:pPr>
            <w:r>
              <w:rPr>
                <w:rFonts w:hint="eastAsia" w:ascii="方正黑体_GBK" w:hAnsi="方正黑体_GBK" w:eastAsia="方正黑体_GBK" w:cs="方正黑体_GBK"/>
                <w:kern w:val="0"/>
                <w:sz w:val="22"/>
              </w:rPr>
              <w:t>公共及生态环境</w:t>
            </w:r>
          </w:p>
        </w:tc>
        <w:tc>
          <w:tcPr>
            <w:tcW w:w="2230" w:type="dxa"/>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 w:val="22"/>
              </w:rPr>
            </w:pPr>
            <w:r>
              <w:rPr>
                <w:rFonts w:hint="eastAsia" w:ascii="方正黑体_GBK" w:hAnsi="方正黑体_GBK" w:eastAsia="方正黑体_GBK" w:cs="方正黑体_GBK"/>
                <w:kern w:val="0"/>
                <w:sz w:val="22"/>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29"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2016年</w:t>
            </w:r>
          </w:p>
        </w:tc>
        <w:tc>
          <w:tcPr>
            <w:tcW w:w="2229"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5481</w:t>
            </w:r>
          </w:p>
        </w:tc>
        <w:tc>
          <w:tcPr>
            <w:tcW w:w="2230"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1197</w:t>
            </w:r>
          </w:p>
        </w:tc>
        <w:tc>
          <w:tcPr>
            <w:tcW w:w="2230"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6678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29"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2017年</w:t>
            </w:r>
          </w:p>
        </w:tc>
        <w:tc>
          <w:tcPr>
            <w:tcW w:w="2229"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4500</w:t>
            </w:r>
          </w:p>
        </w:tc>
        <w:tc>
          <w:tcPr>
            <w:tcW w:w="2230"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1145</w:t>
            </w:r>
          </w:p>
        </w:tc>
        <w:tc>
          <w:tcPr>
            <w:tcW w:w="2230"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5645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29"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2018年</w:t>
            </w:r>
          </w:p>
        </w:tc>
        <w:tc>
          <w:tcPr>
            <w:tcW w:w="2229"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4749</w:t>
            </w:r>
          </w:p>
        </w:tc>
        <w:tc>
          <w:tcPr>
            <w:tcW w:w="2230"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1286</w:t>
            </w:r>
          </w:p>
        </w:tc>
        <w:tc>
          <w:tcPr>
            <w:tcW w:w="2230"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6035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29"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2019年</w:t>
            </w:r>
          </w:p>
        </w:tc>
        <w:tc>
          <w:tcPr>
            <w:tcW w:w="2229"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5107</w:t>
            </w:r>
          </w:p>
        </w:tc>
        <w:tc>
          <w:tcPr>
            <w:tcW w:w="2230"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1796</w:t>
            </w:r>
          </w:p>
        </w:tc>
        <w:tc>
          <w:tcPr>
            <w:tcW w:w="2230"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6903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229"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2020年</w:t>
            </w:r>
          </w:p>
        </w:tc>
        <w:tc>
          <w:tcPr>
            <w:tcW w:w="2229"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5620</w:t>
            </w:r>
          </w:p>
        </w:tc>
        <w:tc>
          <w:tcPr>
            <w:tcW w:w="2230"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1869</w:t>
            </w:r>
          </w:p>
        </w:tc>
        <w:tc>
          <w:tcPr>
            <w:tcW w:w="2230" w:type="dxa"/>
            <w:noWrap w:val="0"/>
            <w:vAlign w:val="center"/>
          </w:tcPr>
          <w:p>
            <w:pPr>
              <w:widowControl w:val="0"/>
              <w:adjustRightInd w:val="0"/>
              <w:snapToGrid w:val="0"/>
              <w:spacing w:line="240" w:lineRule="auto"/>
              <w:jc w:val="center"/>
              <w:rPr>
                <w:rFonts w:ascii="方正仿宋_GBK" w:hAnsi="宋体" w:eastAsia="方正仿宋_GBK" w:cs="宋体"/>
                <w:kern w:val="0"/>
                <w:sz w:val="22"/>
              </w:rPr>
            </w:pPr>
            <w:r>
              <w:rPr>
                <w:rFonts w:hint="eastAsia" w:ascii="方正仿宋_GBK" w:hAnsi="宋体" w:eastAsia="方正仿宋_GBK" w:cs="宋体"/>
                <w:kern w:val="0"/>
                <w:sz w:val="22"/>
              </w:rPr>
              <w:t>7489</w:t>
            </w:r>
          </w:p>
        </w:tc>
      </w:tr>
    </w:tbl>
    <w:p>
      <w:pPr>
        <w:keepNext w:val="0"/>
        <w:keepLines w:val="0"/>
        <w:pageBreakBefore w:val="0"/>
        <w:widowControl w:val="0"/>
        <w:kinsoku/>
        <w:wordWrap/>
        <w:overflowPunct/>
        <w:topLinePunct w:val="0"/>
        <w:autoSpaceDE/>
        <w:autoSpaceDN/>
        <w:bidi w:val="0"/>
        <w:snapToGrid w:val="0"/>
        <w:spacing w:line="276" w:lineRule="auto"/>
        <w:ind w:firstLine="640" w:firstLineChars="200"/>
        <w:textAlignment w:val="auto"/>
        <w:rPr>
          <w:rFonts w:hint="eastAsia" w:ascii="方正仿宋_GBK" w:hAnsi="宋体" w:eastAsia="方正仿宋_GBK"/>
          <w:sz w:val="32"/>
          <w:szCs w:val="32"/>
        </w:rPr>
      </w:pPr>
      <w:r>
        <w:rPr>
          <w:rFonts w:hint="eastAsia" w:ascii="方正仿宋_GBK" w:hAnsi="宋体" w:eastAsia="方正仿宋_GBK"/>
          <w:sz w:val="32"/>
          <w:szCs w:val="32"/>
        </w:rPr>
        <w:t>上表可以看出，随着服务业、生态环境用水量有所增加，但随着永川区节水能力的不断加强，生活综合用水量无明显升高趋势。</w:t>
      </w:r>
    </w:p>
    <w:p>
      <w:pPr>
        <w:keepNext w:val="0"/>
        <w:keepLines w:val="0"/>
        <w:pageBreakBefore w:val="0"/>
        <w:widowControl w:val="0"/>
        <w:kinsoku/>
        <w:wordWrap/>
        <w:overflowPunct/>
        <w:topLinePunct w:val="0"/>
        <w:autoSpaceDE/>
        <w:autoSpaceDN/>
        <w:bidi w:val="0"/>
        <w:snapToGrid w:val="0"/>
        <w:spacing w:line="276" w:lineRule="auto"/>
        <w:ind w:firstLine="640" w:firstLineChars="200"/>
        <w:textAlignment w:val="auto"/>
        <w:rPr>
          <w:rFonts w:hint="eastAsia" w:ascii="方正仿宋_GBK" w:hAnsi="宋体" w:eastAsia="方正仿宋_GBK"/>
          <w:sz w:val="32"/>
          <w:szCs w:val="32"/>
        </w:rPr>
      </w:pPr>
      <w:r>
        <w:rPr>
          <w:rFonts w:hint="eastAsia" w:ascii="方正仿宋_GBK" w:hAnsi="宋体" w:eastAsia="方正仿宋_GBK"/>
          <w:sz w:val="32"/>
          <w:szCs w:val="32"/>
        </w:rPr>
        <w:t>1.3.</w:t>
      </w:r>
      <w:r>
        <w:rPr>
          <w:rFonts w:hint="eastAsia" w:ascii="方正仿宋_GBK" w:hAnsi="宋体" w:eastAsia="方正仿宋_GBK"/>
          <w:sz w:val="32"/>
          <w:szCs w:val="32"/>
          <w:lang w:val="en-US" w:eastAsia="zh-CN"/>
        </w:rPr>
        <w:t>2</w:t>
      </w:r>
      <w:r>
        <w:rPr>
          <w:rFonts w:hint="eastAsia" w:ascii="方正仿宋_GBK" w:hAnsi="宋体" w:eastAsia="方正仿宋_GBK"/>
          <w:sz w:val="32"/>
          <w:szCs w:val="32"/>
        </w:rPr>
        <w:t>.5用耗排分析与平衡</w:t>
      </w:r>
    </w:p>
    <w:p>
      <w:pPr>
        <w:keepNext w:val="0"/>
        <w:keepLines w:val="0"/>
        <w:pageBreakBefore w:val="0"/>
        <w:widowControl w:val="0"/>
        <w:kinsoku/>
        <w:wordWrap/>
        <w:overflowPunct/>
        <w:topLinePunct w:val="0"/>
        <w:autoSpaceDE/>
        <w:autoSpaceDN/>
        <w:bidi w:val="0"/>
        <w:snapToGrid w:val="0"/>
        <w:spacing w:line="276" w:lineRule="auto"/>
        <w:ind w:firstLine="640" w:firstLineChars="200"/>
        <w:textAlignment w:val="auto"/>
        <w:rPr>
          <w:rFonts w:hint="eastAsia" w:ascii="方正仿宋_GBK" w:hAnsi="宋体" w:eastAsia="方正仿宋_GBK"/>
          <w:sz w:val="32"/>
          <w:szCs w:val="32"/>
        </w:rPr>
      </w:pPr>
      <w:r>
        <w:rPr>
          <w:rFonts w:hint="eastAsia" w:ascii="方正仿宋_GBK" w:hAnsi="宋体" w:eastAsia="方正仿宋_GBK"/>
          <w:sz w:val="32"/>
          <w:szCs w:val="32"/>
          <w:lang w:val="en-US" w:eastAsia="zh-CN"/>
        </w:rPr>
        <w:t>1.3.2.5.1</w:t>
      </w:r>
      <w:r>
        <w:rPr>
          <w:rFonts w:hint="eastAsia" w:ascii="方正仿宋_GBK" w:hAnsi="宋体" w:eastAsia="方正仿宋_GBK"/>
          <w:sz w:val="32"/>
          <w:szCs w:val="32"/>
        </w:rPr>
        <w:t>用水消耗量分析估算</w:t>
      </w:r>
    </w:p>
    <w:p>
      <w:pPr>
        <w:keepNext w:val="0"/>
        <w:keepLines w:val="0"/>
        <w:pageBreakBefore w:val="0"/>
        <w:widowControl w:val="0"/>
        <w:kinsoku/>
        <w:wordWrap/>
        <w:overflowPunct/>
        <w:topLinePunct w:val="0"/>
        <w:autoSpaceDE/>
        <w:autoSpaceDN/>
        <w:bidi w:val="0"/>
        <w:snapToGrid w:val="0"/>
        <w:spacing w:line="276" w:lineRule="auto"/>
        <w:ind w:firstLine="640" w:firstLineChars="200"/>
        <w:textAlignment w:val="auto"/>
        <w:rPr>
          <w:rFonts w:hint="eastAsia" w:ascii="方正仿宋_GBK" w:hAnsi="宋体" w:eastAsia="方正仿宋_GBK"/>
          <w:sz w:val="32"/>
          <w:szCs w:val="32"/>
        </w:rPr>
      </w:pPr>
      <w:r>
        <w:rPr>
          <w:rFonts w:hint="eastAsia" w:ascii="方正仿宋_GBK" w:hAnsi="宋体" w:eastAsia="方正仿宋_GBK"/>
          <w:sz w:val="32"/>
          <w:szCs w:val="32"/>
        </w:rPr>
        <w:t>用水消耗量是指取水口后的输水过程、用水过程中，通过各种蒸腾蒸发、土壤吸收、产品带走、人畜饮用等多种途径消耗掉的而不能回归到地表水体或地下含水层的水量，</w:t>
      </w:r>
      <w:r>
        <w:rPr>
          <w:rFonts w:hint="eastAsia" w:ascii="方正仿宋_GBK" w:hAnsi="宋体" w:eastAsia="方正仿宋_GBK"/>
          <w:sz w:val="32"/>
          <w:szCs w:val="32"/>
          <w:lang w:eastAsia="zh-CN"/>
        </w:rPr>
        <w:t>叫作</w:t>
      </w:r>
      <w:r>
        <w:rPr>
          <w:rFonts w:hint="eastAsia" w:ascii="方正仿宋_GBK" w:hAnsi="宋体" w:eastAsia="方正仿宋_GBK"/>
          <w:sz w:val="32"/>
          <w:szCs w:val="32"/>
        </w:rPr>
        <w:t>“耗水量”。用水消耗量主要包括农田灌溉耗水量、工业耗水量、生活耗水量和其他用户耗水量。本次规划主要采取典型调查、水量平衡、废污水排放量监测（环保部门监测资料）等方法分析估算耗水量。</w:t>
      </w:r>
    </w:p>
    <w:p>
      <w:pPr>
        <w:keepNext w:val="0"/>
        <w:keepLines w:val="0"/>
        <w:pageBreakBefore w:val="0"/>
        <w:widowControl w:val="0"/>
        <w:kinsoku/>
        <w:wordWrap/>
        <w:overflowPunct/>
        <w:topLinePunct w:val="0"/>
        <w:autoSpaceDE/>
        <w:autoSpaceDN/>
        <w:bidi w:val="0"/>
        <w:snapToGrid w:val="0"/>
        <w:spacing w:line="276" w:lineRule="auto"/>
        <w:ind w:firstLine="640" w:firstLineChars="200"/>
        <w:textAlignment w:val="auto"/>
        <w:rPr>
          <w:rFonts w:hint="eastAsia" w:ascii="方正仿宋_GBK" w:hAnsi="宋体" w:eastAsia="方正仿宋_GBK"/>
          <w:sz w:val="32"/>
          <w:szCs w:val="32"/>
        </w:rPr>
      </w:pPr>
      <w:r>
        <w:rPr>
          <w:rFonts w:hint="eastAsia" w:ascii="方正仿宋_GBK" w:hAnsi="宋体" w:eastAsia="方正仿宋_GBK"/>
          <w:sz w:val="32"/>
          <w:szCs w:val="32"/>
        </w:rPr>
        <w:t>根据重庆市水资源公报统计结果，永川区2020年总耗水率为73.42%，总耗水量为24662万m³，详见表1.3-7。</w:t>
      </w:r>
    </w:p>
    <w:p>
      <w:pPr>
        <w:keepNext w:val="0"/>
        <w:keepLines w:val="0"/>
        <w:pageBreakBefore w:val="0"/>
        <w:widowControl w:val="0"/>
        <w:kinsoku/>
        <w:wordWrap/>
        <w:overflowPunct/>
        <w:topLinePunct w:val="0"/>
        <w:autoSpaceDE/>
        <w:autoSpaceDN/>
        <w:bidi w:val="0"/>
        <w:snapToGrid w:val="0"/>
        <w:spacing w:beforeLines="0" w:afterLines="0" w:line="264" w:lineRule="auto"/>
        <w:jc w:val="center"/>
        <w:textAlignment w:val="auto"/>
        <w:rPr>
          <w:rFonts w:hint="eastAsia" w:ascii="方正楷体_GBK" w:hAnsi="方正楷体_GBK" w:eastAsia="方正楷体_GBK" w:cs="方正楷体_GBK"/>
          <w:sz w:val="30"/>
          <w:szCs w:val="30"/>
        </w:rPr>
      </w:pPr>
      <w:r>
        <w:rPr>
          <w:rFonts w:hint="eastAsia" w:ascii="方正楷体_GBK" w:hAnsi="方正楷体_GBK" w:eastAsia="方正楷体_GBK" w:cs="方正楷体_GBK"/>
          <w:sz w:val="30"/>
          <w:szCs w:val="30"/>
        </w:rPr>
        <w:t>表1.3-7  永川区20</w:t>
      </w:r>
      <w:r>
        <w:rPr>
          <w:rFonts w:hint="eastAsia" w:ascii="方正楷体_GBK" w:hAnsi="方正楷体_GBK" w:eastAsia="方正楷体_GBK" w:cs="方正楷体_GBK"/>
          <w:sz w:val="30"/>
          <w:szCs w:val="30"/>
          <w:lang w:val="en-US" w:eastAsia="zh-CN"/>
        </w:rPr>
        <w:t>20</w:t>
      </w:r>
      <w:r>
        <w:rPr>
          <w:rFonts w:hint="eastAsia" w:ascii="方正楷体_GBK" w:hAnsi="方正楷体_GBK" w:eastAsia="方正楷体_GBK" w:cs="方正楷体_GBK"/>
          <w:sz w:val="30"/>
          <w:szCs w:val="30"/>
        </w:rPr>
        <w:t>年各行业耗水率及耗水量统计表</w:t>
      </w:r>
    </w:p>
    <w:tbl>
      <w:tblPr>
        <w:tblStyle w:val="17"/>
        <w:tblW w:w="4811" w:type="pct"/>
        <w:jc w:val="center"/>
        <w:tblLayout w:type="autofit"/>
        <w:tblCellMar>
          <w:top w:w="0" w:type="dxa"/>
          <w:left w:w="108" w:type="dxa"/>
          <w:bottom w:w="0" w:type="dxa"/>
          <w:right w:w="108" w:type="dxa"/>
        </w:tblCellMar>
      </w:tblPr>
      <w:tblGrid>
        <w:gridCol w:w="2887"/>
        <w:gridCol w:w="3124"/>
        <w:gridCol w:w="2707"/>
      </w:tblGrid>
      <w:tr>
        <w:tblPrEx>
          <w:tblCellMar>
            <w:top w:w="0" w:type="dxa"/>
            <w:left w:w="108" w:type="dxa"/>
            <w:bottom w:w="0" w:type="dxa"/>
            <w:right w:w="108" w:type="dxa"/>
          </w:tblCellMar>
        </w:tblPrEx>
        <w:trPr>
          <w:trHeight w:val="343" w:hRule="atLeast"/>
          <w:tblHeader/>
          <w:jc w:val="center"/>
        </w:trPr>
        <w:tc>
          <w:tcPr>
            <w:tcW w:w="1656" w:type="pct"/>
            <w:tcBorders>
              <w:top w:val="single" w:color="auto" w:sz="8" w:space="0"/>
              <w:left w:val="single" w:color="auto" w:sz="8" w:space="0"/>
              <w:bottom w:val="single" w:color="auto" w:sz="8" w:space="0"/>
              <w:right w:val="single" w:color="auto" w:sz="8" w:space="0"/>
            </w:tcBorders>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行业</w:t>
            </w:r>
          </w:p>
        </w:tc>
        <w:tc>
          <w:tcPr>
            <w:tcW w:w="1791" w:type="pct"/>
            <w:tcBorders>
              <w:top w:val="single" w:color="auto" w:sz="8" w:space="0"/>
              <w:left w:val="nil"/>
              <w:bottom w:val="single" w:color="auto" w:sz="8" w:space="0"/>
              <w:right w:val="single" w:color="auto" w:sz="8" w:space="0"/>
            </w:tcBorders>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耗水率（%）</w:t>
            </w:r>
          </w:p>
        </w:tc>
        <w:tc>
          <w:tcPr>
            <w:tcW w:w="1552" w:type="pct"/>
            <w:tcBorders>
              <w:top w:val="single" w:color="auto" w:sz="8" w:space="0"/>
              <w:left w:val="nil"/>
              <w:bottom w:val="single" w:color="auto" w:sz="8" w:space="0"/>
              <w:right w:val="single" w:color="auto" w:sz="8" w:space="0"/>
            </w:tcBorders>
            <w:noWrap w:val="0"/>
            <w:vAlign w:val="center"/>
          </w:tcPr>
          <w:p>
            <w:pPr>
              <w:widowControl w:val="0"/>
              <w:adjustRightInd w:val="0"/>
              <w:snapToGrid w:val="0"/>
              <w:spacing w:line="240" w:lineRule="auto"/>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耗水量（万m³）</w:t>
            </w:r>
          </w:p>
        </w:tc>
      </w:tr>
      <w:tr>
        <w:tblPrEx>
          <w:tblCellMar>
            <w:top w:w="0" w:type="dxa"/>
            <w:left w:w="108" w:type="dxa"/>
            <w:bottom w:w="0" w:type="dxa"/>
            <w:right w:w="108" w:type="dxa"/>
          </w:tblCellMar>
        </w:tblPrEx>
        <w:trPr>
          <w:trHeight w:val="343" w:hRule="atLeast"/>
          <w:jc w:val="center"/>
        </w:trPr>
        <w:tc>
          <w:tcPr>
            <w:tcW w:w="1656" w:type="pct"/>
            <w:tcBorders>
              <w:top w:val="nil"/>
              <w:left w:val="single" w:color="auto" w:sz="8" w:space="0"/>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水  田</w:t>
            </w:r>
          </w:p>
        </w:tc>
        <w:tc>
          <w:tcPr>
            <w:tcW w:w="1791"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81.51</w:t>
            </w:r>
          </w:p>
        </w:tc>
        <w:tc>
          <w:tcPr>
            <w:tcW w:w="1552"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9196</w:t>
            </w:r>
          </w:p>
        </w:tc>
      </w:tr>
      <w:tr>
        <w:tblPrEx>
          <w:tblCellMar>
            <w:top w:w="0" w:type="dxa"/>
            <w:left w:w="108" w:type="dxa"/>
            <w:bottom w:w="0" w:type="dxa"/>
            <w:right w:w="108" w:type="dxa"/>
          </w:tblCellMar>
        </w:tblPrEx>
        <w:trPr>
          <w:trHeight w:val="343" w:hRule="atLeast"/>
          <w:jc w:val="center"/>
        </w:trPr>
        <w:tc>
          <w:tcPr>
            <w:tcW w:w="1656" w:type="pct"/>
            <w:tcBorders>
              <w:top w:val="nil"/>
              <w:left w:val="single" w:color="auto" w:sz="8" w:space="0"/>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水浇地</w:t>
            </w:r>
          </w:p>
        </w:tc>
        <w:tc>
          <w:tcPr>
            <w:tcW w:w="1791"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89.75</w:t>
            </w:r>
          </w:p>
        </w:tc>
        <w:tc>
          <w:tcPr>
            <w:tcW w:w="1552"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731</w:t>
            </w:r>
          </w:p>
        </w:tc>
      </w:tr>
      <w:tr>
        <w:tblPrEx>
          <w:tblCellMar>
            <w:top w:w="0" w:type="dxa"/>
            <w:left w:w="108" w:type="dxa"/>
            <w:bottom w:w="0" w:type="dxa"/>
            <w:right w:w="108" w:type="dxa"/>
          </w:tblCellMar>
        </w:tblPrEx>
        <w:trPr>
          <w:trHeight w:val="343" w:hRule="atLeast"/>
          <w:jc w:val="center"/>
        </w:trPr>
        <w:tc>
          <w:tcPr>
            <w:tcW w:w="1656" w:type="pct"/>
            <w:tcBorders>
              <w:top w:val="nil"/>
              <w:left w:val="single" w:color="auto" w:sz="8" w:space="0"/>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菜  田</w:t>
            </w:r>
          </w:p>
        </w:tc>
        <w:tc>
          <w:tcPr>
            <w:tcW w:w="1791"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89.05</w:t>
            </w:r>
          </w:p>
        </w:tc>
        <w:tc>
          <w:tcPr>
            <w:tcW w:w="1552"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764</w:t>
            </w:r>
          </w:p>
        </w:tc>
      </w:tr>
      <w:tr>
        <w:tblPrEx>
          <w:tblCellMar>
            <w:top w:w="0" w:type="dxa"/>
            <w:left w:w="108" w:type="dxa"/>
            <w:bottom w:w="0" w:type="dxa"/>
            <w:right w:w="108" w:type="dxa"/>
          </w:tblCellMar>
        </w:tblPrEx>
        <w:trPr>
          <w:trHeight w:val="343" w:hRule="atLeast"/>
          <w:jc w:val="center"/>
        </w:trPr>
        <w:tc>
          <w:tcPr>
            <w:tcW w:w="1656" w:type="pct"/>
            <w:tcBorders>
              <w:top w:val="nil"/>
              <w:left w:val="single" w:color="auto" w:sz="8" w:space="0"/>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林牧渔灌溉及补水</w:t>
            </w:r>
          </w:p>
        </w:tc>
        <w:tc>
          <w:tcPr>
            <w:tcW w:w="1791"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94.10</w:t>
            </w:r>
          </w:p>
        </w:tc>
        <w:tc>
          <w:tcPr>
            <w:tcW w:w="1552"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7384</w:t>
            </w:r>
          </w:p>
        </w:tc>
      </w:tr>
      <w:tr>
        <w:tblPrEx>
          <w:tblCellMar>
            <w:top w:w="0" w:type="dxa"/>
            <w:left w:w="108" w:type="dxa"/>
            <w:bottom w:w="0" w:type="dxa"/>
            <w:right w:w="108" w:type="dxa"/>
          </w:tblCellMar>
        </w:tblPrEx>
        <w:trPr>
          <w:trHeight w:val="343" w:hRule="atLeast"/>
          <w:jc w:val="center"/>
        </w:trPr>
        <w:tc>
          <w:tcPr>
            <w:tcW w:w="1656" w:type="pct"/>
            <w:tcBorders>
              <w:top w:val="nil"/>
              <w:left w:val="single" w:color="auto" w:sz="8" w:space="0"/>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牲畜</w:t>
            </w:r>
          </w:p>
        </w:tc>
        <w:tc>
          <w:tcPr>
            <w:tcW w:w="1791"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89.53</w:t>
            </w:r>
          </w:p>
        </w:tc>
        <w:tc>
          <w:tcPr>
            <w:tcW w:w="1552"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308</w:t>
            </w:r>
          </w:p>
        </w:tc>
      </w:tr>
      <w:tr>
        <w:tblPrEx>
          <w:tblCellMar>
            <w:top w:w="0" w:type="dxa"/>
            <w:left w:w="108" w:type="dxa"/>
            <w:bottom w:w="0" w:type="dxa"/>
            <w:right w:w="108" w:type="dxa"/>
          </w:tblCellMar>
        </w:tblPrEx>
        <w:trPr>
          <w:trHeight w:val="343" w:hRule="atLeast"/>
          <w:jc w:val="center"/>
        </w:trPr>
        <w:tc>
          <w:tcPr>
            <w:tcW w:w="1656" w:type="pct"/>
            <w:tcBorders>
              <w:top w:val="nil"/>
              <w:left w:val="single" w:color="auto" w:sz="8" w:space="0"/>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循环式火（核）电</w:t>
            </w:r>
          </w:p>
        </w:tc>
        <w:tc>
          <w:tcPr>
            <w:tcW w:w="1791"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96.06</w:t>
            </w:r>
          </w:p>
        </w:tc>
        <w:tc>
          <w:tcPr>
            <w:tcW w:w="1552"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135</w:t>
            </w:r>
          </w:p>
        </w:tc>
      </w:tr>
      <w:tr>
        <w:tblPrEx>
          <w:tblCellMar>
            <w:top w:w="0" w:type="dxa"/>
            <w:left w:w="108" w:type="dxa"/>
            <w:bottom w:w="0" w:type="dxa"/>
            <w:right w:w="108" w:type="dxa"/>
          </w:tblCellMar>
        </w:tblPrEx>
        <w:trPr>
          <w:trHeight w:val="343" w:hRule="atLeast"/>
          <w:jc w:val="center"/>
        </w:trPr>
        <w:tc>
          <w:tcPr>
            <w:tcW w:w="1656" w:type="pct"/>
            <w:tcBorders>
              <w:top w:val="nil"/>
              <w:left w:val="single" w:color="auto" w:sz="8" w:space="0"/>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非火（核）电工业</w:t>
            </w:r>
          </w:p>
        </w:tc>
        <w:tc>
          <w:tcPr>
            <w:tcW w:w="1791"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47.15</w:t>
            </w:r>
          </w:p>
        </w:tc>
        <w:tc>
          <w:tcPr>
            <w:tcW w:w="1552"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1727</w:t>
            </w:r>
          </w:p>
        </w:tc>
      </w:tr>
      <w:tr>
        <w:tblPrEx>
          <w:tblCellMar>
            <w:top w:w="0" w:type="dxa"/>
            <w:left w:w="108" w:type="dxa"/>
            <w:bottom w:w="0" w:type="dxa"/>
            <w:right w:w="108" w:type="dxa"/>
          </w:tblCellMar>
        </w:tblPrEx>
        <w:trPr>
          <w:trHeight w:val="343" w:hRule="atLeast"/>
          <w:jc w:val="center"/>
        </w:trPr>
        <w:tc>
          <w:tcPr>
            <w:tcW w:w="1656" w:type="pct"/>
            <w:tcBorders>
              <w:top w:val="nil"/>
              <w:left w:val="single" w:color="auto" w:sz="8" w:space="0"/>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建筑业</w:t>
            </w:r>
          </w:p>
        </w:tc>
        <w:tc>
          <w:tcPr>
            <w:tcW w:w="1791"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64.52</w:t>
            </w:r>
          </w:p>
        </w:tc>
        <w:tc>
          <w:tcPr>
            <w:tcW w:w="1552"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261</w:t>
            </w:r>
          </w:p>
        </w:tc>
      </w:tr>
      <w:tr>
        <w:tblPrEx>
          <w:tblCellMar>
            <w:top w:w="0" w:type="dxa"/>
            <w:left w:w="108" w:type="dxa"/>
            <w:bottom w:w="0" w:type="dxa"/>
            <w:right w:w="108" w:type="dxa"/>
          </w:tblCellMar>
        </w:tblPrEx>
        <w:trPr>
          <w:trHeight w:val="343" w:hRule="atLeast"/>
          <w:jc w:val="center"/>
        </w:trPr>
        <w:tc>
          <w:tcPr>
            <w:tcW w:w="1656" w:type="pct"/>
            <w:tcBorders>
              <w:top w:val="nil"/>
              <w:left w:val="single" w:color="auto" w:sz="8" w:space="0"/>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服务业</w:t>
            </w:r>
          </w:p>
        </w:tc>
        <w:tc>
          <w:tcPr>
            <w:tcW w:w="1791"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45.31</w:t>
            </w:r>
          </w:p>
        </w:tc>
        <w:tc>
          <w:tcPr>
            <w:tcW w:w="1552"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605</w:t>
            </w:r>
          </w:p>
        </w:tc>
      </w:tr>
      <w:tr>
        <w:tblPrEx>
          <w:tblCellMar>
            <w:top w:w="0" w:type="dxa"/>
            <w:left w:w="108" w:type="dxa"/>
            <w:bottom w:w="0" w:type="dxa"/>
            <w:right w:w="108" w:type="dxa"/>
          </w:tblCellMar>
        </w:tblPrEx>
        <w:trPr>
          <w:trHeight w:val="343" w:hRule="atLeast"/>
          <w:jc w:val="center"/>
        </w:trPr>
        <w:tc>
          <w:tcPr>
            <w:tcW w:w="1656" w:type="pct"/>
            <w:tcBorders>
              <w:top w:val="nil"/>
              <w:left w:val="single" w:color="auto" w:sz="8" w:space="0"/>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城镇</w:t>
            </w:r>
          </w:p>
        </w:tc>
        <w:tc>
          <w:tcPr>
            <w:tcW w:w="1791"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46.69</w:t>
            </w:r>
          </w:p>
        </w:tc>
        <w:tc>
          <w:tcPr>
            <w:tcW w:w="1552"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2089</w:t>
            </w:r>
          </w:p>
        </w:tc>
      </w:tr>
      <w:tr>
        <w:tblPrEx>
          <w:tblCellMar>
            <w:top w:w="0" w:type="dxa"/>
            <w:left w:w="108" w:type="dxa"/>
            <w:bottom w:w="0" w:type="dxa"/>
            <w:right w:w="108" w:type="dxa"/>
          </w:tblCellMar>
        </w:tblPrEx>
        <w:trPr>
          <w:trHeight w:val="343" w:hRule="atLeast"/>
          <w:jc w:val="center"/>
        </w:trPr>
        <w:tc>
          <w:tcPr>
            <w:tcW w:w="1656" w:type="pct"/>
            <w:tcBorders>
              <w:top w:val="nil"/>
              <w:left w:val="single" w:color="auto" w:sz="8" w:space="0"/>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农村</w:t>
            </w:r>
          </w:p>
        </w:tc>
        <w:tc>
          <w:tcPr>
            <w:tcW w:w="1791"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78.44</w:t>
            </w:r>
          </w:p>
        </w:tc>
        <w:tc>
          <w:tcPr>
            <w:tcW w:w="1552"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898</w:t>
            </w:r>
          </w:p>
        </w:tc>
      </w:tr>
      <w:tr>
        <w:tblPrEx>
          <w:tblCellMar>
            <w:top w:w="0" w:type="dxa"/>
            <w:left w:w="108" w:type="dxa"/>
            <w:bottom w:w="0" w:type="dxa"/>
            <w:right w:w="108" w:type="dxa"/>
          </w:tblCellMar>
        </w:tblPrEx>
        <w:trPr>
          <w:trHeight w:val="343" w:hRule="atLeast"/>
          <w:jc w:val="center"/>
        </w:trPr>
        <w:tc>
          <w:tcPr>
            <w:tcW w:w="1656" w:type="pct"/>
            <w:tcBorders>
              <w:top w:val="nil"/>
              <w:left w:val="single" w:color="auto" w:sz="8" w:space="0"/>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城镇环境</w:t>
            </w:r>
          </w:p>
        </w:tc>
        <w:tc>
          <w:tcPr>
            <w:tcW w:w="1791"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61.94</w:t>
            </w:r>
          </w:p>
        </w:tc>
        <w:tc>
          <w:tcPr>
            <w:tcW w:w="1552"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203</w:t>
            </w:r>
          </w:p>
        </w:tc>
      </w:tr>
      <w:tr>
        <w:tblPrEx>
          <w:tblCellMar>
            <w:top w:w="0" w:type="dxa"/>
            <w:left w:w="108" w:type="dxa"/>
            <w:bottom w:w="0" w:type="dxa"/>
            <w:right w:w="108" w:type="dxa"/>
          </w:tblCellMar>
        </w:tblPrEx>
        <w:trPr>
          <w:trHeight w:val="343" w:hRule="atLeast"/>
          <w:jc w:val="center"/>
        </w:trPr>
        <w:tc>
          <w:tcPr>
            <w:tcW w:w="1656" w:type="pct"/>
            <w:tcBorders>
              <w:top w:val="nil"/>
              <w:left w:val="single" w:color="auto" w:sz="8" w:space="0"/>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河湖补水</w:t>
            </w:r>
          </w:p>
        </w:tc>
        <w:tc>
          <w:tcPr>
            <w:tcW w:w="1791"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65.57</w:t>
            </w:r>
          </w:p>
        </w:tc>
        <w:tc>
          <w:tcPr>
            <w:tcW w:w="1552"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359</w:t>
            </w:r>
          </w:p>
        </w:tc>
      </w:tr>
      <w:tr>
        <w:tblPrEx>
          <w:tblCellMar>
            <w:top w:w="0" w:type="dxa"/>
            <w:left w:w="108" w:type="dxa"/>
            <w:bottom w:w="0" w:type="dxa"/>
            <w:right w:w="108" w:type="dxa"/>
          </w:tblCellMar>
        </w:tblPrEx>
        <w:trPr>
          <w:trHeight w:val="364" w:hRule="atLeast"/>
          <w:jc w:val="center"/>
        </w:trPr>
        <w:tc>
          <w:tcPr>
            <w:tcW w:w="1656" w:type="pct"/>
            <w:tcBorders>
              <w:top w:val="nil"/>
              <w:left w:val="single" w:color="auto" w:sz="8" w:space="0"/>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总耗水量</w:t>
            </w:r>
          </w:p>
        </w:tc>
        <w:tc>
          <w:tcPr>
            <w:tcW w:w="1791"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73.42</w:t>
            </w:r>
          </w:p>
        </w:tc>
        <w:tc>
          <w:tcPr>
            <w:tcW w:w="1552" w:type="pct"/>
            <w:tcBorders>
              <w:top w:val="nil"/>
              <w:left w:val="nil"/>
              <w:bottom w:val="single" w:color="auto" w:sz="8" w:space="0"/>
              <w:right w:val="single" w:color="auto" w:sz="8" w:space="0"/>
            </w:tcBorders>
            <w:noWrap w:val="0"/>
            <w:vAlign w:val="center"/>
          </w:tcPr>
          <w:p>
            <w:pPr>
              <w:widowControl w:val="0"/>
              <w:adjustRightInd w:val="0"/>
              <w:snapToGrid w:val="0"/>
              <w:spacing w:line="240" w:lineRule="auto"/>
              <w:jc w:val="center"/>
              <w:rPr>
                <w:rFonts w:ascii="方正仿宋_GBK" w:hAnsi="宋体" w:eastAsia="方正仿宋_GBK" w:cs="宋体"/>
                <w:kern w:val="0"/>
                <w:szCs w:val="21"/>
              </w:rPr>
            </w:pPr>
            <w:r>
              <w:rPr>
                <w:rFonts w:hint="eastAsia" w:ascii="方正仿宋_GBK" w:hAnsi="宋体" w:eastAsia="方正仿宋_GBK" w:cs="宋体"/>
                <w:kern w:val="0"/>
                <w:szCs w:val="21"/>
              </w:rPr>
              <w:t>24662</w:t>
            </w:r>
          </w:p>
        </w:tc>
      </w:tr>
    </w:tbl>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lang w:val="en-US" w:eastAsia="zh-CN"/>
        </w:rPr>
        <w:t>1.3.2.5.2</w:t>
      </w:r>
      <w:r>
        <w:rPr>
          <w:rFonts w:hint="eastAsia" w:ascii="方正仿宋_GBK" w:hAnsi="宋体" w:eastAsia="方正仿宋_GBK"/>
          <w:sz w:val="32"/>
          <w:szCs w:val="32"/>
        </w:rPr>
        <w:t>供、用、耗成果的合理性</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2020年永川全区供水总量为33591万m³，其中生活综合用水量7360万m³，工业用水量3802万m³，农田用水量21553m³，生态环境876万m³，由此可见农田灌溉用水量比例最大。</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根据重庆市水资源公报统计结果，永川区2020年总耗水率为73.42%，总耗水量为24662万m³。</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根据2016年、2017年、2018年、2019年、2020年五个典型年份的供用水分析，其总供水量与总用水量基本平衡，耗水量约为73.42%，数据合理。</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1.3.</w:t>
      </w:r>
      <w:r>
        <w:rPr>
          <w:rFonts w:hint="eastAsia" w:ascii="方正仿宋_GBK" w:hAnsi="宋体" w:eastAsia="方正仿宋_GBK"/>
          <w:sz w:val="32"/>
          <w:szCs w:val="32"/>
          <w:lang w:val="en-US" w:eastAsia="zh-CN"/>
        </w:rPr>
        <w:t>2</w:t>
      </w:r>
      <w:r>
        <w:rPr>
          <w:rFonts w:hint="eastAsia" w:ascii="方正仿宋_GBK" w:hAnsi="宋体" w:eastAsia="方正仿宋_GBK"/>
          <w:sz w:val="32"/>
          <w:szCs w:val="32"/>
        </w:rPr>
        <w:t>.6水资源开发利用分析</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分析当地地表水资源开发率，浅层地下水资源开采率和水资源利用消耗率。永川区地表水供水中有一部分取自长江过境水，因此进行当地地表水资源开发率计算时扣除了过境水提水量，全区地表水资源量及地下水资源量成果直接采用前文分析计算成果资料。</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lang w:val="en-US" w:eastAsia="zh-CN"/>
        </w:rPr>
        <w:t>1.3.2.6.1</w:t>
      </w:r>
      <w:r>
        <w:rPr>
          <w:rFonts w:hint="eastAsia" w:ascii="方正仿宋_GBK" w:hAnsi="宋体" w:eastAsia="方正仿宋_GBK"/>
          <w:sz w:val="32"/>
          <w:szCs w:val="32"/>
        </w:rPr>
        <w:t>地表水资源开发率</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地表水资源开发率为地表水供水量占地表水资源量的百分比。分析中采用2020年的供用水及水资源状况进行计算，全区地表水资源开发率为34.84%，其中涪江丘陵区最高达31.59%，北岸盆地区36.02%，较重庆市地表水资源开发率13.89%偏高。</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lang w:val="en-US" w:eastAsia="zh-CN"/>
        </w:rPr>
        <w:t>1.3.2.6..2</w:t>
      </w:r>
      <w:r>
        <w:rPr>
          <w:rFonts w:hint="eastAsia" w:ascii="方正仿宋_GBK" w:hAnsi="宋体" w:eastAsia="方正仿宋_GBK"/>
          <w:sz w:val="32"/>
          <w:szCs w:val="32"/>
        </w:rPr>
        <w:t>地下水资源开发率</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地下水资源开采率为地下水供水量占地下水资源总量的百分比，全区地下水资源开采率为1.32%。其中北岸盆地区0.81%，涪江丘陵区2.50%，永川区地下水资源开采率与重庆市平均水平1.26%持平。</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lang w:val="en-US" w:eastAsia="zh-CN"/>
        </w:rPr>
        <w:t>1.3.2.6.3</w:t>
      </w:r>
      <w:r>
        <w:rPr>
          <w:rFonts w:hint="eastAsia" w:ascii="方正仿宋_GBK" w:hAnsi="宋体" w:eastAsia="方正仿宋_GBK"/>
          <w:sz w:val="32"/>
          <w:szCs w:val="32"/>
        </w:rPr>
        <w:t>水资源利用消耗率</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水资源利用消耗率为水资源消耗量占当地水资源量的百分比，由于取用过境水形成的耗水量无法调查得到，因此规划中将总耗水量乘以过境水供水量占地表水资源供水量的比例进行估算，以此真实反映当地自产水量的开发利用及消耗情况。全区水资源利用消耗率18.85%。其中北岸盆地17.94%，涪江丘陵区19.17%，永川区地下水资源利用消耗率较重庆市平均水平7.25%偏高。</w:t>
      </w:r>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25" w:name="_Toc1425661743"/>
      <w:bookmarkStart w:id="26" w:name="_Toc23956"/>
      <w:bookmarkStart w:id="27" w:name="_Toc307109346"/>
      <w:bookmarkStart w:id="28" w:name="_Toc962312578"/>
      <w:r>
        <w:rPr>
          <w:rFonts w:hint="eastAsia" w:ascii="方正楷体_GBK" w:hAnsi="Times New Roman" w:eastAsia="方正楷体_GBK" w:cs="Times New Roman"/>
          <w:b w:val="0"/>
          <w:bCs w:val="0"/>
          <w:sz w:val="32"/>
          <w:szCs w:val="32"/>
          <w:lang w:val="en-US" w:eastAsia="zh-CN"/>
        </w:rPr>
        <w:t>1.4现状用水水平及节水潜力分析</w:t>
      </w:r>
      <w:bookmarkEnd w:id="25"/>
      <w:bookmarkEnd w:id="26"/>
      <w:bookmarkEnd w:id="27"/>
      <w:bookmarkEnd w:id="28"/>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1.4.1用水水平分析</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本规划要求在经济社会资料收集整理和用水调查统计的基础上，对全区及水资源分区各综合用水指标、农业用水指标、工业用水指标和生活用水指标进行分析计算，评价其用水水平、用水效率及其变化情况。</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1.4.1.1</w:t>
      </w:r>
      <w:r>
        <w:rPr>
          <w:rFonts w:hint="eastAsia" w:ascii="方正仿宋_GBK" w:hAnsi="宋体" w:eastAsia="方正仿宋_GBK"/>
          <w:sz w:val="32"/>
          <w:szCs w:val="32"/>
        </w:rPr>
        <w:t>生活节水情况</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综合用水指标包括人均用水指标和单位GDP值用水指标等。2020年全区人均用水量为292m</w:t>
      </w:r>
      <w:r>
        <w:rPr>
          <w:rFonts w:hint="eastAsia" w:ascii="宋体" w:hAnsi="宋体" w:eastAsia="宋体" w:cs="宋体"/>
          <w:sz w:val="32"/>
          <w:szCs w:val="32"/>
        </w:rPr>
        <w:t>³</w:t>
      </w:r>
      <w:r>
        <w:rPr>
          <w:rFonts w:hint="eastAsia" w:ascii="方正仿宋_GBK" w:hAnsi="宋体" w:eastAsia="方正仿宋_GBK"/>
          <w:sz w:val="32"/>
          <w:szCs w:val="32"/>
        </w:rPr>
        <w:t>，单位GDP（万元）值用水量为33m</w:t>
      </w:r>
      <w:r>
        <w:rPr>
          <w:rFonts w:hint="eastAsia" w:ascii="宋体" w:hAnsi="宋体" w:eastAsia="宋体" w:cs="宋体"/>
          <w:sz w:val="32"/>
          <w:szCs w:val="32"/>
        </w:rPr>
        <w:t>³</w:t>
      </w:r>
      <w:r>
        <w:rPr>
          <w:rFonts w:hint="eastAsia" w:ascii="方正仿宋_GBK" w:hAnsi="宋体" w:eastAsia="方正仿宋_GBK"/>
          <w:sz w:val="32"/>
          <w:szCs w:val="32"/>
        </w:rPr>
        <w:t>。</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十三五”期间，永川区逐步实施产业结构调整，形成了以水泥、建材、智能机器、饲料、化工、汽车制造等新的支柱产业，工业经济驶入快车道，经济总量的增长，但用水量的增长又受到节水措施，产业结构、管水程序制约，单位用水指标逐年下降。</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1.4.1.2</w:t>
      </w:r>
      <w:r>
        <w:rPr>
          <w:rFonts w:hint="eastAsia" w:ascii="方正仿宋_GBK" w:hAnsi="宋体" w:eastAsia="方正仿宋_GBK"/>
          <w:sz w:val="32"/>
          <w:szCs w:val="32"/>
        </w:rPr>
        <w:t>农业用水指标</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永川区在2016～2020年期间，农业灌溉供水量略微增加，灌溉用水主要受降雨影响有不同变化。</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1.4.1.3</w:t>
      </w:r>
      <w:r>
        <w:rPr>
          <w:rFonts w:hint="eastAsia" w:ascii="方正仿宋_GBK" w:hAnsi="宋体" w:eastAsia="方正仿宋_GBK"/>
          <w:sz w:val="32"/>
          <w:szCs w:val="32"/>
        </w:rPr>
        <w:t>工业用水指标</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2020年工业用水量3802万m</w:t>
      </w:r>
      <w:r>
        <w:rPr>
          <w:rFonts w:hint="eastAsia" w:ascii="宋体" w:hAnsi="宋体" w:eastAsia="宋体" w:cs="宋体"/>
          <w:sz w:val="32"/>
          <w:szCs w:val="32"/>
        </w:rPr>
        <w:t>³</w:t>
      </w:r>
      <w:r>
        <w:rPr>
          <w:rFonts w:hint="eastAsia" w:ascii="方正仿宋_GBK" w:hAnsi="方正仿宋_GBK" w:eastAsia="方正仿宋_GBK" w:cs="方正仿宋_GBK"/>
          <w:sz w:val="32"/>
          <w:szCs w:val="32"/>
        </w:rPr>
        <w:t>，单位工业增加值用水量为较2015年降低了18.4%，</w:t>
      </w:r>
      <w:r>
        <w:rPr>
          <w:rFonts w:hint="eastAsia" w:ascii="方正仿宋_GBK" w:hAnsi="宋体" w:eastAsia="方正仿宋_GBK"/>
          <w:sz w:val="32"/>
          <w:szCs w:val="32"/>
        </w:rPr>
        <w:t>用水总量较为平稳，用水定额呈逐年降低趋势。2016年～2020年下降幅度在重庆市红线范围内。</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1.4.1.4</w:t>
      </w:r>
      <w:r>
        <w:rPr>
          <w:rFonts w:hint="eastAsia" w:ascii="方正仿宋_GBK" w:hAnsi="宋体" w:eastAsia="方正仿宋_GBK"/>
          <w:sz w:val="32"/>
          <w:szCs w:val="32"/>
        </w:rPr>
        <w:t>生活用水指标</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根据永川区2016～2020年水资源公报数据来看，城镇居民生活用水指标分别为149 L/d、150 L/d、163 L/d、166 L/d、153 L/d。农村生活用水指标分别为93 L/d、90 L/d、104 L/d、111 L/d、91 L/d。从上述数据可以看出，随着永川区社会经济的发展，永川区居民生活用水定额程逐步上升趋势，但由于近年来节水工作的不断开展，提高了水量利用率，降低了城市及镇</w:t>
      </w:r>
      <w:r>
        <w:rPr>
          <w:rFonts w:hint="eastAsia" w:ascii="方正仿宋_GBK" w:hAnsi="宋体" w:eastAsia="方正仿宋_GBK"/>
          <w:sz w:val="32"/>
          <w:szCs w:val="32"/>
          <w:lang w:eastAsia="zh-CN"/>
        </w:rPr>
        <w:t>街</w:t>
      </w:r>
      <w:r>
        <w:rPr>
          <w:rFonts w:hint="eastAsia" w:ascii="方正仿宋_GBK" w:hAnsi="宋体" w:eastAsia="方正仿宋_GBK"/>
          <w:sz w:val="32"/>
          <w:szCs w:val="32"/>
        </w:rPr>
        <w:t>管网漏损率，故综合用水定额呈下降趋势，符合城市发展的基本规律。</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1.4.2节水评价</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万元地区总值（GDP）用水量</w:t>
      </w:r>
      <w:r>
        <w:rPr>
          <w:rFonts w:hint="eastAsia" w:ascii="方正仿宋_GBK" w:hAnsi="宋体" w:eastAsia="方正仿宋_GBK"/>
          <w:sz w:val="32"/>
          <w:szCs w:val="32"/>
          <w:lang w:val="en-US" w:eastAsia="zh-CN"/>
        </w:rPr>
        <w:t>。</w:t>
      </w:r>
      <w:r>
        <w:rPr>
          <w:rFonts w:hint="eastAsia" w:ascii="方正仿宋_GBK" w:hAnsi="宋体" w:eastAsia="方正仿宋_GBK"/>
          <w:sz w:val="32"/>
          <w:szCs w:val="32"/>
        </w:rPr>
        <w:t>根据2020年水资源公报统计成果，永川区2020年万元地区总值（GDP）用水量为33m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万元，全国万元地区总值（GDP）用水量为57.2m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/万元，重庆市万元地区总值（GDP）用水量为28m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/万元，永川区万元地区总值（GDP）用水量为全国的57.69%，但高于重庆市整体水平，还有一定提升空间。</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城市污水处理率</w:t>
      </w:r>
      <w:r>
        <w:rPr>
          <w:rFonts w:hint="eastAsia" w:ascii="方正仿宋_GBK" w:hAnsi="宋体" w:eastAsia="方正仿宋_GBK"/>
          <w:sz w:val="32"/>
          <w:szCs w:val="32"/>
          <w:lang w:eastAsia="zh-CN"/>
        </w:rPr>
        <w:t>。</w:t>
      </w:r>
      <w:r>
        <w:rPr>
          <w:rFonts w:hint="eastAsia" w:ascii="方正仿宋_GBK" w:hAnsi="宋体" w:eastAsia="方正仿宋_GBK"/>
          <w:sz w:val="32"/>
          <w:szCs w:val="32"/>
        </w:rPr>
        <w:t>根据《2020年重庆市永川区人民政府工作报告》，永川城区现状污水处理率已经达到95%，高于全国县级市平均（90%）水平。</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城市管网漏损率</w:t>
      </w:r>
      <w:r>
        <w:rPr>
          <w:rFonts w:hint="eastAsia" w:ascii="方正仿宋_GBK" w:hAnsi="宋体" w:eastAsia="方正仿宋_GBK"/>
          <w:sz w:val="32"/>
          <w:szCs w:val="32"/>
          <w:lang w:eastAsia="zh-CN"/>
        </w:rPr>
        <w:t>。</w:t>
      </w:r>
      <w:r>
        <w:rPr>
          <w:rFonts w:hint="eastAsia" w:ascii="方正仿宋_GBK" w:hAnsi="宋体" w:eastAsia="方正仿宋_GBK"/>
          <w:sz w:val="32"/>
          <w:szCs w:val="32"/>
        </w:rPr>
        <w:t>永川区城区现状网漏损率为7.92%，根据《城市供水管网漏损控制及评定标准》CJJ92-2002，永川区城市管网漏损率不应大于12%，故永川区现状管网漏损率已达到全国城市节水Ⅰ级评价标准。</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雨污分流排水体制及管道覆盖率</w:t>
      </w:r>
      <w:r>
        <w:rPr>
          <w:rFonts w:hint="eastAsia" w:ascii="方正仿宋_GBK" w:hAnsi="宋体" w:eastAsia="方正仿宋_GBK"/>
          <w:sz w:val="32"/>
          <w:szCs w:val="32"/>
          <w:lang w:eastAsia="zh-CN"/>
        </w:rPr>
        <w:t>。</w:t>
      </w:r>
      <w:r>
        <w:rPr>
          <w:rFonts w:hint="eastAsia" w:ascii="方正仿宋_GBK" w:hAnsi="宋体" w:eastAsia="方正仿宋_GBK"/>
          <w:sz w:val="32"/>
          <w:szCs w:val="32"/>
        </w:rPr>
        <w:t>城区现有9个污水排水分区。其中老城区5个，分别是胜利河流域、萱花河流域、玉屏河流域、小安溪流域及临江河高炮师-商贸城河段；新城区3个，分别是跳蹬河流域、红旗河流域及临江河商贸城-永川污水厂河段；凤凰湖工业园区1个，即临江河永川污水厂-工业园区污水厂流域。永川中心城区绝大部分地区属于临江河流域，基本完成了分流制改造，部分改造难度较大的区域依然采用合流制。</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经过多年的污水管网建设，新城区及凤凰湖工业园区已实现污水管道全覆盖，老城区污水管道覆盖率也超过95%，污水收集能力大幅提高。总体而言，污水管网能较好满足城区污水收集。目前制约永川污水收集能力的瓶颈在于城区的污水提升泵站。其中新区一号泵站已满负荷运转，新区二号污水厂泵站和老城区污水泵站已经不能满足要求，雨季存在污水溢出情况。</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1.4.2.1生活节水</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1.4.2.1.1</w:t>
      </w:r>
      <w:r>
        <w:rPr>
          <w:rFonts w:hint="eastAsia" w:ascii="方正仿宋_GBK" w:hAnsi="宋体" w:eastAsia="方正仿宋_GBK"/>
          <w:sz w:val="32"/>
          <w:szCs w:val="32"/>
        </w:rPr>
        <w:t>城市居民生活日用水量</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永川城区现状居民生活日毛用水量为153L/人，净用水量为140 L/人，查《城市居民生活用水量标准》（GB/T50331）重庆区域城市生活日用水量标准为100～140 L /人，永川城区现状居民生活日用水量与规范值基本一致，还有一定提升空间</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1.4.2.1.2</w:t>
      </w:r>
      <w:r>
        <w:rPr>
          <w:rFonts w:hint="eastAsia" w:ascii="方正仿宋_GBK" w:hAnsi="宋体" w:eastAsia="方正仿宋_GBK"/>
          <w:sz w:val="32"/>
          <w:szCs w:val="32"/>
        </w:rPr>
        <w:t>节水型器具普及率</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据调查，永川区节水型生活用水器具普及率已达95%（公共建筑），永川区节水型生活用水器具普及率已达90%（居民家庭），公共建筑节水器具普及率未达城市节水Ⅲ级评价标准（100%），居民家庭节水器具普及率未达城市节水Ⅲ级评价标准（95%）。</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1.4.2.1.3</w:t>
      </w:r>
      <w:r>
        <w:rPr>
          <w:rFonts w:hint="eastAsia" w:ascii="方正仿宋_GBK" w:hAnsi="宋体" w:eastAsia="方正仿宋_GBK"/>
          <w:sz w:val="32"/>
          <w:szCs w:val="32"/>
        </w:rPr>
        <w:t>节水型小区覆盖率</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制定了《重庆市永川区节水型小区考核细则》，积极开展节水型社区创建活动，严格要求建设业主和户主使用节水器材，小区景观环境用水使用雨水和再生水，禁止使用自来水。帝琴花园、阳光小镇等小区作为示范点，实施节水器具改造，采用灵敏度较高的数字式水表，使用节水龙头、花洒节水器、节水蹲便器、高效节水马桶、高效节水冲洗阀，对小区生活用水进行处理回用，节水率达17%以上。</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1.4.2.1.4</w:t>
      </w:r>
      <w:r>
        <w:rPr>
          <w:rFonts w:hint="eastAsia" w:ascii="方正仿宋_GBK" w:hAnsi="宋体" w:eastAsia="方正仿宋_GBK"/>
          <w:sz w:val="32"/>
          <w:szCs w:val="32"/>
        </w:rPr>
        <w:t>节水型单位覆盖率</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永川区彻底贯彻落实节水型社会建设理念，通过近年的不断努力，目前区内节水型高耗水企业建成率为</w:t>
      </w:r>
      <w:r>
        <w:rPr>
          <w:rFonts w:hint="eastAsia" w:ascii="方正仿宋_GBK" w:hAnsi="宋体" w:eastAsia="方正仿宋_GBK"/>
          <w:sz w:val="32"/>
          <w:szCs w:val="32"/>
          <w:lang w:val="en-US" w:eastAsia="zh-CN"/>
        </w:rPr>
        <w:t>45</w:t>
      </w:r>
      <w:r>
        <w:rPr>
          <w:rFonts w:hint="eastAsia" w:ascii="方正仿宋_GBK" w:hAnsi="宋体" w:eastAsia="方正仿宋_GBK"/>
          <w:sz w:val="32"/>
          <w:szCs w:val="32"/>
        </w:rPr>
        <w:t>%，节水型公共机构建成率为62%。</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1.4.2.1.5</w:t>
      </w:r>
      <w:r>
        <w:rPr>
          <w:rFonts w:hint="eastAsia" w:ascii="方正仿宋_GBK" w:hAnsi="宋体" w:eastAsia="方正仿宋_GBK"/>
          <w:sz w:val="32"/>
          <w:szCs w:val="32"/>
        </w:rPr>
        <w:t>特种行业（洗浴、洗车等）用水计量收费率</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永川区现有特种行业（洗浴、洗车等）用水计量收费率已达到100%，该指标已达到城市节水Ⅰ级评价标准。</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1.4.2.2工业节水</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1.4.2.2.1</w:t>
      </w:r>
      <w:r>
        <w:rPr>
          <w:rFonts w:hint="eastAsia" w:ascii="方正仿宋_GBK" w:hAnsi="宋体" w:eastAsia="方正仿宋_GBK"/>
          <w:sz w:val="32"/>
          <w:szCs w:val="32"/>
        </w:rPr>
        <w:t>万元工业增加值用水量报告</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永川区2020年水资源统计成果，单位工业增加值用水量为较2015年降低18.14%，符合“三 条红线”用水指标要求。</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1.4.2.2.2</w:t>
      </w:r>
      <w:r>
        <w:rPr>
          <w:rFonts w:hint="eastAsia" w:ascii="方正仿宋_GBK" w:hAnsi="宋体" w:eastAsia="方正仿宋_GBK"/>
          <w:sz w:val="32"/>
          <w:szCs w:val="32"/>
        </w:rPr>
        <w:t>工业用水重复利用率</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永川区工业总用水量约为3802万m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，工业重复水利用率达到79%，该指标大于78%，达到城市节水Ⅲ级标准。</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1.4.2.2.3</w:t>
      </w:r>
      <w:r>
        <w:rPr>
          <w:rFonts w:hint="eastAsia" w:ascii="方正仿宋_GBK" w:hAnsi="宋体" w:eastAsia="方正仿宋_GBK"/>
          <w:sz w:val="32"/>
          <w:szCs w:val="32"/>
        </w:rPr>
        <w:t>工企业单位产品用水量</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永川区现主要工企业用水户基本完成了水资源论证，经严格审批后，用水定额基本符合现行国家标准《取水定额》（GB/T18916.1～19816.16）相关规定要求，该项指标达到城市节水Ⅲ级标准。</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1.4.2.2.4</w:t>
      </w:r>
      <w:r>
        <w:rPr>
          <w:rFonts w:hint="eastAsia" w:ascii="方正仿宋_GBK" w:hAnsi="宋体" w:eastAsia="方正仿宋_GBK"/>
          <w:sz w:val="32"/>
          <w:szCs w:val="32"/>
        </w:rPr>
        <w:t>节水型高耗水工业企业覆盖率</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自2004年永川区创建节水型社会以来，逐步强化企业用水管理，加强用水计量，对取水大户实施在线监控，要求年取水量50万m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以上的工业企业每年进行一次水平衡测试。大力推广节水新技术、新工艺、新设备，创建节水型企业。据统计，节水型高耗水工业企业覆盖率已达</w:t>
      </w:r>
      <w:r>
        <w:rPr>
          <w:rFonts w:hint="eastAsia" w:ascii="方正仿宋_GBK" w:hAnsi="宋体" w:eastAsia="方正仿宋_GBK"/>
          <w:sz w:val="32"/>
          <w:szCs w:val="32"/>
          <w:lang w:val="en-US" w:eastAsia="zh-CN"/>
        </w:rPr>
        <w:t>45</w:t>
      </w:r>
      <w:r>
        <w:rPr>
          <w:rFonts w:hint="eastAsia" w:ascii="方正仿宋_GBK" w:hAnsi="宋体" w:eastAsia="方正仿宋_GBK"/>
          <w:sz w:val="32"/>
          <w:szCs w:val="32"/>
        </w:rPr>
        <w:t>%，达到城市节水Ⅰ级标准。</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1.4.2.3农业用水</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2020年永川区灌溉水利用系数为0.5082，基本达到重庆市平均水平。</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1.4.3节水潜力分析</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节水型社会的建设，最基本的措施便是节约用水。节约用水是在确保合理用水，不降低经济社会发展能力和人民生活质量的前提下，以提高水资源利用效率，降低在使用过程中的浪费和减少污水排放为目的，所采取的工程、技术和管理等各项综合措施的行为。</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通过对永川区用水和节水科学预测和规划，调整用水结构，加强用水计划管理，合理配置，开发、利用水资源，形成科学的用水体系。使其社会、经济活动所需要的水量控制在本地区自然界提供的或者当代科学技术水平能达到或可得到的水资源的量的范围内，并使水资源得到有效的利用和保护。</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水资源的多少决定城市建设的方向和可持续发展的能力，也是对永川区社会经济发展的一大制约。如果永川区能在用水方式上完全从粗放型向节约计划型转变，各种非常规水资源能充分有效的利用，政府以及城市居民节水意识进一步得到加强，城市供水能够科学开源，废污水量能够减少并经处理后能够以再生水的形式再利用，雨水采用低冲击模式收集利用，用水效率进一步提高，各项节水指标能高效实现，那么永川区的水资源将会支持和保障城市经济社会的可持续发展。</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节水型社会的建设，最基本的措施便是节约用水。节约用水是在确保合理用水，不降低经济社会发展能力和人民生活质量的前提下，以提高水资源利用效率，降低在使用过程中的浪费和减少污水排放为目的，所采取的工程、技术和管理等各项综合措施的行为。</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通过对永川区用水和节水科学预测和规划，调整用水结构，加强用水计划管理，合理配置，开发、利用水资源，形成科学的用水体系。使其社会、经济活动所需要的水量控制在本地区自然界提供的或者当代科学技术水平能达到或可得到的水资源的量的范围内，并使水资源得到有效的利用和保护。</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1.4.3.1城镇生活节水潜力</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永川区现状年综合生活供水量7360万m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，其中城镇生活用水量为4475万m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，农村居民生活用水量1145万m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据调查，城区现状管网漏损率达7.92%，镇街管网漏损率达12%，农村管网漏损率达15%。通过管网整修、加强取用水管理，镇街管网漏损率控制在10%以内，农村管网漏损率控制在12%以内，则永川区现状年生活用水量仅为6263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，可节约水量123万m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1.4.3.2农业节水潜力</w:t>
      </w:r>
    </w:p>
    <w:p>
      <w:pPr>
        <w:keepNext w:val="0"/>
        <w:keepLines w:val="0"/>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永川区现状灌溉水利用系数已达0.5082，但距离世界领先水平0.7还有一定差距。在当前灌溉条件下年农业灌溉用水量达21553万m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，在通过渠道整治改建，发展节水灌溉项目后，在2025年灌溉水利用系数达到0.5224时，全区灌溉需水量仅为20967万m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，其节水量达585万m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1.4.3.3工业节水潜力</w:t>
      </w:r>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0"/>
        <w:rPr>
          <w:rFonts w:hint="eastAsia" w:ascii="方正黑体_GBK" w:hAnsi="方正黑体_GBK" w:eastAsia="方正黑体_GBK" w:cs="方正黑体_GBK"/>
          <w:b w:val="0"/>
          <w:bCs w:val="0"/>
          <w:kern w:val="2"/>
          <w:sz w:val="32"/>
          <w:szCs w:val="32"/>
          <w:lang w:val="en-US" w:eastAsia="zh-CN" w:bidi="ar-SA"/>
        </w:rPr>
      </w:pPr>
      <w:r>
        <w:rPr>
          <w:rFonts w:hint="eastAsia" w:ascii="方正仿宋_GBK" w:hAnsi="宋体" w:eastAsia="方正仿宋_GBK"/>
          <w:sz w:val="32"/>
          <w:szCs w:val="32"/>
        </w:rPr>
        <w:t>永川区现状万元工业增加值用水量较2015年下降18.14%，年需水量为3802万m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，当提高重复水利用，降低万元工业增加值用水量，若2025年较2020年降低15%，则年需水量为3231万m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，其节水量达570万m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，永川区工业节水潜力比较大。</w:t>
      </w:r>
      <w:bookmarkStart w:id="29" w:name="_Toc1777"/>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0"/>
        <w:rPr>
          <w:rFonts w:hint="eastAsia" w:ascii="方正黑体_GBK" w:hAnsi="方正黑体_GBK" w:eastAsia="方正黑体_GBK" w:cs="方正黑体_GBK"/>
          <w:b w:val="0"/>
          <w:bCs w:val="0"/>
          <w:kern w:val="2"/>
          <w:sz w:val="32"/>
          <w:szCs w:val="32"/>
          <w:lang w:val="en-US" w:eastAsia="zh-CN" w:bidi="ar-SA"/>
        </w:rPr>
      </w:pPr>
      <w:bookmarkStart w:id="30" w:name="_Toc1140419895"/>
      <w:bookmarkStart w:id="31" w:name="_Toc682410267"/>
      <w:bookmarkStart w:id="32" w:name="_Toc2117610423"/>
      <w:r>
        <w:rPr>
          <w:rFonts w:hint="eastAsia" w:ascii="方正黑体_GBK" w:hAnsi="方正黑体_GBK" w:eastAsia="方正黑体_GBK" w:cs="方正黑体_GBK"/>
          <w:b w:val="0"/>
          <w:bCs w:val="0"/>
          <w:kern w:val="2"/>
          <w:sz w:val="32"/>
          <w:szCs w:val="32"/>
          <w:lang w:val="en-US" w:eastAsia="zh-CN" w:bidi="ar-SA"/>
        </w:rPr>
        <w:t>2节水工作主要成效及存在的问题</w:t>
      </w:r>
      <w:bookmarkEnd w:id="29"/>
      <w:bookmarkEnd w:id="30"/>
      <w:bookmarkEnd w:id="31"/>
      <w:bookmarkEnd w:id="32"/>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近年来</w:t>
      </w:r>
      <w:r>
        <w:rPr>
          <w:rFonts w:ascii="方正仿宋_GBK" w:hAnsi="宋体" w:eastAsia="方正仿宋_GBK"/>
          <w:sz w:val="32"/>
          <w:szCs w:val="32"/>
        </w:rPr>
        <w:t>，永川区大力推</w:t>
      </w:r>
      <w:r>
        <w:rPr>
          <w:rFonts w:hint="eastAsia" w:ascii="方正仿宋_GBK" w:hAnsi="宋体" w:eastAsia="方正仿宋_GBK"/>
          <w:sz w:val="32"/>
          <w:szCs w:val="32"/>
        </w:rPr>
        <w:t>进</w:t>
      </w:r>
      <w:r>
        <w:rPr>
          <w:rFonts w:ascii="方正仿宋_GBK" w:hAnsi="宋体" w:eastAsia="方正仿宋_GBK"/>
          <w:sz w:val="32"/>
          <w:szCs w:val="32"/>
        </w:rPr>
        <w:t>节水型社会建设，</w:t>
      </w:r>
      <w:r>
        <w:rPr>
          <w:rFonts w:hint="eastAsia" w:ascii="方正仿宋_GBK" w:hAnsi="宋体" w:eastAsia="方正仿宋_GBK"/>
          <w:sz w:val="32"/>
          <w:szCs w:val="32"/>
        </w:rPr>
        <w:t>于2018年永川区节水型社会达标建设顺利通过市级验收。永川区在节水型社会建设推进工作中，以节水型单位、节水型企业、节水型居民小区、节水型农业和节水型校园建设为突破点，在工业、农业、生活等领域，培育形成了一批有影响、有特色、有典型引导意义的节水示范工程，以点带面，带动了全社会的节水。不断</w:t>
      </w:r>
      <w:r>
        <w:rPr>
          <w:rFonts w:ascii="方正仿宋_GBK" w:hAnsi="宋体" w:eastAsia="方正仿宋_GBK"/>
          <w:sz w:val="32"/>
          <w:szCs w:val="32"/>
        </w:rPr>
        <w:t>完善节水管理制度，创新节水管理机制，开展节水宣传教育，</w:t>
      </w:r>
      <w:r>
        <w:rPr>
          <w:rFonts w:hint="eastAsia" w:ascii="方正仿宋_GBK" w:hAnsi="宋体" w:eastAsia="方正仿宋_GBK"/>
          <w:sz w:val="32"/>
          <w:szCs w:val="32"/>
        </w:rPr>
        <w:t>初步构建了以水资源总量控制与定额管理为核心的水资源管理体系、与水资源承载能力相适应的经济结构体系、水资源优化配置和高效利用的工程技术体系、水资源水环境保护体系以及自觉节水的社会行为规范体系。</w:t>
      </w:r>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33" w:name="_Toc1455948581"/>
      <w:bookmarkStart w:id="34" w:name="_Toc1032027671"/>
      <w:bookmarkStart w:id="35" w:name="_Toc27936"/>
      <w:bookmarkStart w:id="36" w:name="_Toc210637742"/>
      <w:r>
        <w:rPr>
          <w:rFonts w:hint="eastAsia" w:ascii="方正楷体_GBK" w:hAnsi="Times New Roman" w:eastAsia="方正楷体_GBK" w:cs="Times New Roman"/>
          <w:b w:val="0"/>
          <w:bCs w:val="0"/>
          <w:sz w:val="32"/>
          <w:szCs w:val="32"/>
          <w:lang w:val="en-US" w:eastAsia="zh-CN"/>
        </w:rPr>
        <w:t>2.1“十三五”节水工作成效</w:t>
      </w:r>
      <w:bookmarkEnd w:id="33"/>
      <w:bookmarkEnd w:id="34"/>
      <w:bookmarkEnd w:id="35"/>
      <w:bookmarkEnd w:id="36"/>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2.1.1节水型社会建设指标全面提升</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对照《节水型社会评价标准》（试行），永川区各项指标基本符合要求，“十三五”期间，在水资源论证、取水许可过程中认真执行国家相关规定、严格把关，积极开展节水型载体创建，顺利完成上级主管部门下达建设任务。及时下达年度各取水单位取水计划，各自备水源用水单位及管网内工业用水户用水计量齐全。逐步推进农业灌溉用水计量管理，落实水资源管理信息系统运维资金，积极推进农业水价综合改革，实行居民用水阶梯水价制度和工业用水超计划超定额累进加价收费制度，足额征收水资源费超额完成上级主管部门下达的水资源费征收任务。贯彻落实节水“三同时”管理制度，组织开展节水型载体创建工作，至2020年城市公共供水管网漏损严格控制在8％以下。推广应用节水型卫生洁具，新建小区和公共场所节水型器具安装率达到100%，大力发展再生水利用工程，加快推进永川污水处理厂中水回用工程实施，积极组织开展节水宣传活动，居民节水意识进一步提升。</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2.1.2健全以“三条红线”控制为核心的水资源管理体系</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为落实习近平总书记关于“节水优先、空间均衡、系统治理、两手发力”新时期治水方针，在实行最严格的水资源管理制度的背景下，以提高水资源利用效率和效益为核心，紧密结合“三条红线”的贯彻落实，进一步强化需水管理，严格执行以区域取用水总量控制和定额管理为重点的水资源配置管理制度，严格执行以取水许可制度为重点的取用水管理制度，落实水量分配指标，强化计划用水和定额管理，严格执行超计划用水加价收费，实现大用水户计划用水管理全覆盖，严格执行以水功能区管理为重点的水资源保护制度，提高水资源监测、计量监督等工作的科技含量，全面加强节水管理能力建设。</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2.1.3完善与水资源承载能力相适应的经济结构体系</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建立了与水资源承载能力相协调的经济结构体系。一是工业方面，充分利用本地水资源条件，优化产业结构，逐步摆脱钢铁、煤炭作为传统支柱产业，依托凤凰湖产业园、港桥产业园、三教产业园和软件园，加快推进汽摩及零部件、智能装备、特色消费品、电子信息、先进材料主导产业集群发展，积极引育大健康、生产性服务业产业聚集发展，培育发展软件与信息服务、大数据为代表的数字产业。推广循环用水、污水再生利用，推进各类企业实施节水技术升级改造，建立大用水户实时监管系统。二是农业方面，积极建设小型机电灌区灌溉泵站、管道与渠道系统，以及配套建筑物的续建配套与更新改造，发展喷灌、滴管等节水灌溉农业；加快发展高效节水灌溉，推进灌区节水配套改造项目，加大节水灌溉增效示范项目面积。三是生活方面，完善供水管网漏损检测系统建设，健全用水计量监督设施，积极开展节水型社区创建活动，加快完成老旧小区节水器具改造工程，大力推广普及节水器具。</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2.1.4完善公众节水行为规范体系</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把节水宣传教育工作作为节水型社会建设的目标任务，抓住节水型载体创建的关键环节，利用每年“世界水日”“中国水周”，紧紧围绕宣传主题，制定详细的宣传方案，深入到社区、市民广场、学校、镇</w:t>
      </w:r>
      <w:r>
        <w:rPr>
          <w:rFonts w:hint="eastAsia" w:ascii="方正仿宋_GBK" w:hAnsi="宋体" w:eastAsia="方正仿宋_GBK"/>
          <w:sz w:val="32"/>
          <w:szCs w:val="32"/>
          <w:lang w:eastAsia="zh-CN"/>
        </w:rPr>
        <w:t>街</w:t>
      </w:r>
      <w:r>
        <w:rPr>
          <w:rFonts w:hint="eastAsia" w:ascii="方正仿宋_GBK" w:hAnsi="宋体" w:eastAsia="方正仿宋_GBK"/>
          <w:sz w:val="32"/>
          <w:szCs w:val="32"/>
        </w:rPr>
        <w:t>、企业，开展形式多样的宣传活动。大力宣传建设资源节约型、环境友好型社会的重大意义，推广节水管理先进经验。通过系统的开展节水宣传教育，全区广大市民节水意识得到明显提高，自觉树立起了节水的社会风尚和节水的文明生活方式，为全面推进节水型社会建设创造了良好的社会环境。</w:t>
      </w:r>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37" w:name="_Toc13872"/>
      <w:bookmarkStart w:id="38" w:name="_Toc853433072"/>
      <w:bookmarkStart w:id="39" w:name="_Toc806990566"/>
      <w:bookmarkStart w:id="40" w:name="_Toc1442075938"/>
      <w:r>
        <w:rPr>
          <w:rFonts w:hint="eastAsia" w:ascii="方正楷体_GBK" w:hAnsi="Times New Roman" w:eastAsia="方正楷体_GBK" w:cs="Times New Roman"/>
          <w:b w:val="0"/>
          <w:bCs w:val="0"/>
          <w:sz w:val="32"/>
          <w:szCs w:val="32"/>
          <w:lang w:val="en-US" w:eastAsia="zh-CN"/>
        </w:rPr>
        <w:t>2.2存在的主要问题</w:t>
      </w:r>
      <w:bookmarkEnd w:id="37"/>
      <w:bookmarkEnd w:id="38"/>
      <w:bookmarkEnd w:id="39"/>
      <w:bookmarkEnd w:id="40"/>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2.2.1水资源利用量有限，供需矛盾加大</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在生产和生活领域不同程度存在结构型、生产型和消费型的水资源浪费现象，因此，需要切实转变水资源利用方式，提高用水效率。永川区随着节水型社会建设的推进，严格用水管理，推广节水技术，用水水平有很大提升，但灌溉水利用系数、工业用水重复利用率等水效率指标距国际先进水平还有一定差距，用水效率仍有较大的提升空间，需要进一步推进节水型社会建设，提高用水效率。</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永川区属缺水地区，经过多年发展，区内供水体系基本形成，但仍存在与全区社会经济发展需水不相适应的问题，存在用水矛盾，节水潜力仍需进一步挖掘。</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2.2.2节水法律法规及监督管理机制不够健全</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节水应有权威机构在统一的法规和政策指导下，互相配合，相互衔接，互为补充，优化配置，才能实现用水总效率的科学提高，而目前永川区节水管理机构正在不断完善中，法律法规正逐步制定。</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2.2.3管网系统不完善</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部分供水管网修建时间较久，存在老化现象，管道杂质易带来二次污染。</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老城区内各主要道路基本以雨污合流制排水系统为主，除个别近两年新建的道路下敷设有污水及雨水管道外，大部分道路均在道路两侧人行道下敷设雨污合流管道，最终排入沿城区各条河流布置的截流干管内。降雨期间合流管内水量急剧增加，导致大量合流污水在河道及污水厂前溢流，污水厂进厂水量也显著增加。</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2.2.4非常规水利用处于起步阶段</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永川区现状非常规水主要在中水回用方面，年利用量仅为117万m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，再生水利用率较低。</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2.2.5节水意识有待进一步提高</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hint="eastAsia" w:ascii="方正仿宋_GBK" w:hAnsi="宋体" w:eastAsia="方正仿宋_GBK"/>
          <w:sz w:val="32"/>
          <w:szCs w:val="32"/>
          <w:lang w:eastAsia="zh-CN"/>
        </w:rPr>
      </w:pPr>
      <w:r>
        <w:rPr>
          <w:rFonts w:hint="eastAsia" w:ascii="方正仿宋_GBK" w:hAnsi="宋体" w:eastAsia="方正仿宋_GBK"/>
          <w:sz w:val="32"/>
          <w:szCs w:val="32"/>
        </w:rPr>
        <w:t>永川是缺水型地区，但各阶层对缺水认知不足，对未来水资源的形势缺乏足够的重视，社会公众缺水的忧患意识不强。公众对永川区缺水状况不了解，使得其对“浪费用水会增加对环境污染，加剧优质水资源的短缺，节约用水可减少城市污水排放量、处理量和改善水环境”的作用认识不够。因此，广大用水户无法积极自觉的行动起来开展节水工作。</w:t>
      </w:r>
      <w:r>
        <w:rPr>
          <w:rFonts w:hint="eastAsia" w:ascii="方正仿宋_GBK" w:hAnsi="宋体" w:eastAsia="方正仿宋_GBK"/>
          <w:sz w:val="32"/>
          <w:szCs w:val="32"/>
          <w:lang w:eastAsia="zh-CN"/>
        </w:rPr>
        <w:t>主要表现在以下几个方面：</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eastAsia="zh-CN"/>
        </w:rPr>
        <w:t>一是</w:t>
      </w:r>
      <w:r>
        <w:rPr>
          <w:rFonts w:hint="eastAsia" w:ascii="方正仿宋_GBK" w:hAnsi="宋体" w:eastAsia="方正仿宋_GBK"/>
          <w:sz w:val="32"/>
          <w:szCs w:val="32"/>
        </w:rPr>
        <w:t>工业节水改造步履艰难，由于企业资金紧缺，融资又比较困难，制约了工业节水技术改造的推进，致使节水技术和节水设备及污水处理设施应用滞后，造成工业用水效率和工业用水重复利用率有待进一步提高。</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eastAsia="zh-CN"/>
        </w:rPr>
        <w:t>二是</w:t>
      </w:r>
      <w:r>
        <w:rPr>
          <w:rFonts w:hint="eastAsia" w:ascii="方正仿宋_GBK" w:hAnsi="宋体" w:eastAsia="方正仿宋_GBK"/>
          <w:sz w:val="32"/>
          <w:szCs w:val="32"/>
        </w:rPr>
        <w:t>供水管网和用水设备年久失修，用水设备“跑、冒、滴、漏”现象严重，城区管网漏损率在8%以内，但镇</w:t>
      </w:r>
      <w:r>
        <w:rPr>
          <w:rFonts w:hint="eastAsia" w:ascii="方正仿宋_GBK" w:hAnsi="宋体" w:eastAsia="方正仿宋_GBK"/>
          <w:sz w:val="32"/>
          <w:szCs w:val="32"/>
          <w:lang w:eastAsia="zh-CN"/>
        </w:rPr>
        <w:t>街</w:t>
      </w:r>
      <w:r>
        <w:rPr>
          <w:rFonts w:hint="eastAsia" w:ascii="方正仿宋_GBK" w:hAnsi="宋体" w:eastAsia="方正仿宋_GBK"/>
          <w:sz w:val="32"/>
          <w:szCs w:val="32"/>
        </w:rPr>
        <w:t>及农村地区管网漏损率在12%～15%，管网漏损还有定缩减空间。</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eastAsia="zh-CN"/>
        </w:rPr>
        <w:t>三是</w:t>
      </w:r>
      <w:r>
        <w:rPr>
          <w:rFonts w:hint="eastAsia" w:ascii="方正仿宋_GBK" w:hAnsi="宋体" w:eastAsia="方正仿宋_GBK"/>
          <w:sz w:val="32"/>
          <w:szCs w:val="32"/>
        </w:rPr>
        <w:t>居民节水意识不够强，往往对生活用水比较随意，居民住宅内节水型器具、卫生洁具和配套设施的推广安装质量监督和管理不够，节水也必然难见成效。</w:t>
      </w:r>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41" w:name="_Toc1442600642"/>
      <w:bookmarkStart w:id="42" w:name="_Toc539517840"/>
      <w:bookmarkStart w:id="43" w:name="_Toc16598"/>
      <w:bookmarkStart w:id="44" w:name="_Toc281628269"/>
      <w:r>
        <w:rPr>
          <w:rFonts w:hint="eastAsia" w:ascii="方正楷体_GBK" w:hAnsi="Times New Roman" w:eastAsia="方正楷体_GBK" w:cs="Times New Roman"/>
          <w:b w:val="0"/>
          <w:bCs w:val="0"/>
          <w:sz w:val="32"/>
          <w:szCs w:val="32"/>
          <w:lang w:val="en-US" w:eastAsia="zh-CN"/>
        </w:rPr>
        <w:t>2.3面临的形势</w:t>
      </w:r>
      <w:bookmarkEnd w:id="41"/>
      <w:bookmarkEnd w:id="42"/>
      <w:bookmarkEnd w:id="43"/>
      <w:bookmarkEnd w:id="44"/>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近年来，中央和重庆市出台了一系列促进水利发展改革的文件和政策，国家和区域相关发展战略正在积极实施，尤其是《重庆市节约用水管理办法》和《重庆市节水行动实施方案》的出台，节约用水工作面临诸多有利条件和难得的发展机遇。</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2.3.1节水必要性</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节水是在不降低人民生活质量和经济社会发展能力的前提下，采取综合措施，减少取用水过程中的损失、消耗和污染，杜绝浪费，提高水的利用效率，科学合理和高效利用水资源。它不仅对缓解城市用水矛盾，保障经济发展和社会安定起了重要作用，而且对保护和使用水资源产生深远的影响。</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2.3.1.1</w:t>
      </w:r>
      <w:r>
        <w:rPr>
          <w:rFonts w:hint="eastAsia" w:ascii="方正仿宋_GBK" w:hAnsi="宋体" w:eastAsia="方正仿宋_GBK"/>
          <w:sz w:val="32"/>
          <w:szCs w:val="32"/>
        </w:rPr>
        <w:t>水资源量不足及时空分布不均是永川区的情况，节水是缓解当前与今后城乡缺水矛盾的长期硬性措施</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永川地处重庆西部、川渝黔三区交汇点，幅员1576km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 xml:space="preserve">，是成渝重要节点城市。永川同时也是一个季节性缺水、水质性缺水和工程性缺水的城市，特别是工业用水和城市居民生活用水压力尤其突出，永川区属重度缺水地区。做好节水工作能缓解城乡的缺水矛盾，因此，应该将节水作为解决缺水矛盾的长期硬性措施。 </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2.3.1.2</w:t>
      </w:r>
      <w:r>
        <w:rPr>
          <w:rFonts w:hint="eastAsia" w:ascii="方正仿宋_GBK" w:hAnsi="宋体" w:eastAsia="方正仿宋_GBK"/>
          <w:sz w:val="32"/>
          <w:szCs w:val="32"/>
        </w:rPr>
        <w:t>节水是保障永川区经济社会可持续发展必须坚持的一项重要政策</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国际上公认，人均拥有水资源量1750m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为用水紧张线，人均有水1000m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为生存的起码要求线。全区平均水资源量约7.19含过境水利用量），人均水资源占有量约为635m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仅为重庆市平均水资源占有量的1/3，不足全国的1/4，水资源供需缺口较大。为此，永川区必须坚持开源节流并举，把节流放在首位的方针，实现以提高水效率为核心的水资源优化配置，以水资源的可持续利用来保障永川区经济社会的可持续发展。</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2.3.1.3</w:t>
      </w:r>
      <w:r>
        <w:rPr>
          <w:rFonts w:hint="eastAsia" w:ascii="方正仿宋_GBK" w:hAnsi="宋体" w:eastAsia="方正仿宋_GBK"/>
          <w:sz w:val="32"/>
          <w:szCs w:val="32"/>
        </w:rPr>
        <w:t>治理、改善和保护永川水环境迫切要求加强节水工作</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经济社会得到了快速发展，但水环境恶化，已严重影响到经济社会的可持续发展。由于永川区经济发展较为迅速，特别是临江片区，水资源的过度开采已严重影响河道的生态基流及河道的实际纳污能力，水环境的压力在不断加重，这需要通过节水加以节制。</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2.3.2节水的发展情况</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我国农业节水发展较早，20世纪50～60就开展了节水灌溉技术研究；70年代初重点对自流区土质渠道进行防渗衬砌；70年代中期开始，试验推广喷灌、滴灌等节水灌溉技术；80年代对机电泵站和机井灌区推行节水节能技术改造；90年代开始，逐步实现工程技术、农业技术和管理技术的有机结合。永川的农业节水也紧跟全国的形势，结合永川的特点有重点地开展相应节水工作。</w:t>
      </w:r>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9"/>
        <w:rPr>
          <w:rFonts w:hint="eastAsia" w:ascii="方正仿宋_GBK" w:hAnsi="宋体" w:eastAsia="方正仿宋_GBK" w:cs="Times New Roman"/>
          <w:b w:val="0"/>
          <w:bCs w:val="0"/>
          <w:kern w:val="2"/>
          <w:sz w:val="32"/>
          <w:szCs w:val="32"/>
          <w:lang w:val="en-US" w:eastAsia="zh-CN" w:bidi="ar-SA"/>
        </w:rPr>
      </w:pPr>
      <w:r>
        <w:rPr>
          <w:rFonts w:hint="eastAsia" w:ascii="方正仿宋_GBK" w:hAnsi="宋体" w:eastAsia="方正仿宋_GBK"/>
          <w:sz w:val="32"/>
          <w:szCs w:val="32"/>
        </w:rPr>
        <w:t>工业节水和城市生活节水工作开始于70年代末80年代初。随着我国一些城市和地区出现供水形势紧张局面，节水作为一种有效缓解措施得到广泛重视和采用。目前永川基本建有节水机构，普遍开展了节水宣传，制定了一些节水管理法规，整个节水工作有了一定的基础。为“十四五”的节水相关工作开展提供了良好的环境。</w:t>
      </w:r>
      <w:bookmarkStart w:id="45" w:name="_Toc9558"/>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0"/>
        <w:rPr>
          <w:rFonts w:hint="eastAsia" w:ascii="方正黑体_GBK" w:hAnsi="方正黑体_GBK" w:eastAsia="方正黑体_GBK" w:cs="方正黑体_GBK"/>
          <w:b w:val="0"/>
          <w:bCs w:val="0"/>
          <w:kern w:val="2"/>
          <w:sz w:val="32"/>
          <w:szCs w:val="32"/>
          <w:lang w:val="en-US" w:eastAsia="zh-CN" w:bidi="ar-SA"/>
        </w:rPr>
      </w:pPr>
      <w:bookmarkStart w:id="46" w:name="_Toc2105769494"/>
      <w:bookmarkStart w:id="47" w:name="_Toc456425015"/>
      <w:bookmarkStart w:id="48" w:name="_Toc982723769"/>
      <w:r>
        <w:rPr>
          <w:rFonts w:hint="eastAsia" w:ascii="方正黑体_GBK" w:hAnsi="方正黑体_GBK" w:eastAsia="方正黑体_GBK" w:cs="方正黑体_GBK"/>
          <w:b w:val="0"/>
          <w:bCs w:val="0"/>
          <w:kern w:val="2"/>
          <w:sz w:val="32"/>
          <w:szCs w:val="32"/>
          <w:lang w:val="en-US" w:eastAsia="zh-CN" w:bidi="ar-SA"/>
        </w:rPr>
        <w:t>3规划目标和主要任务</w:t>
      </w:r>
      <w:bookmarkEnd w:id="45"/>
      <w:bookmarkEnd w:id="46"/>
      <w:bookmarkEnd w:id="47"/>
      <w:bookmarkEnd w:id="48"/>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49" w:name="_Toc621795329"/>
      <w:bookmarkStart w:id="50" w:name="_Toc2027770275"/>
      <w:bookmarkStart w:id="51" w:name="_Toc2225"/>
      <w:bookmarkStart w:id="52" w:name="_Toc885983897"/>
      <w:r>
        <w:rPr>
          <w:rFonts w:hint="eastAsia" w:ascii="方正楷体_GBK" w:hAnsi="Times New Roman" w:eastAsia="方正楷体_GBK" w:cs="Times New Roman"/>
          <w:b w:val="0"/>
          <w:bCs w:val="0"/>
          <w:sz w:val="32"/>
          <w:szCs w:val="32"/>
          <w:lang w:val="en-US" w:eastAsia="zh-CN"/>
        </w:rPr>
        <w:t>3.1指导思想</w:t>
      </w:r>
      <w:bookmarkEnd w:id="49"/>
      <w:bookmarkEnd w:id="50"/>
      <w:bookmarkEnd w:id="51"/>
      <w:bookmarkEnd w:id="52"/>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为贯彻落实党的十九大精神，进一步贯彻落实习近平总书记“节水优先、空间均衡、系统治理、两手发力”治水思路，全面推进《重庆市节水行动实施方案</w:t>
      </w:r>
      <w:r>
        <w:rPr>
          <w:rFonts w:hint="eastAsia" w:ascii="方正仿宋_GBK" w:hAnsi="宋体" w:eastAsia="方正仿宋_GBK"/>
          <w:sz w:val="32"/>
          <w:szCs w:val="32"/>
          <w:lang w:eastAsia="zh-CN"/>
        </w:rPr>
        <w:t>》《》</w:t>
      </w:r>
      <w:r>
        <w:rPr>
          <w:rFonts w:hint="eastAsia" w:ascii="方正仿宋_GBK" w:hAnsi="宋体" w:eastAsia="方正仿宋_GBK"/>
          <w:sz w:val="32"/>
          <w:szCs w:val="32"/>
        </w:rPr>
        <w:t>永川区节水行动实施方案》落地见效，全面实施节水行动，以水定城、以水定地、以水定人、以水定产，以水定需、因水制宜、量水而行，始终把水资源作为经济社会发展的最大刚性约束，持续强化水资源开发利用的监督管理，不断提升水资源利用效率和行业监管能力，促进城市高质量发展。把节水贯彻到经济社会发展全过程和各领域，为永川实现高质量发展提供有力支撑和基础保障。</w:t>
      </w:r>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53" w:name="_Toc4480"/>
      <w:bookmarkStart w:id="54" w:name="_Toc1955419132"/>
      <w:bookmarkStart w:id="55" w:name="_Toc1018420742"/>
      <w:bookmarkStart w:id="56" w:name="_Toc1442207644"/>
      <w:r>
        <w:rPr>
          <w:rFonts w:hint="eastAsia" w:ascii="方正楷体_GBK" w:hAnsi="Times New Roman" w:eastAsia="方正楷体_GBK" w:cs="Times New Roman"/>
          <w:b w:val="0"/>
          <w:bCs w:val="0"/>
          <w:sz w:val="32"/>
          <w:szCs w:val="32"/>
          <w:lang w:val="en-US" w:eastAsia="zh-CN"/>
        </w:rPr>
        <w:t>3.2基本原则</w:t>
      </w:r>
      <w:bookmarkEnd w:id="53"/>
      <w:bookmarkEnd w:id="54"/>
      <w:bookmarkEnd w:id="55"/>
      <w:bookmarkEnd w:id="56"/>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3.2.1基本原则</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3.2.1.1</w:t>
      </w:r>
      <w:r>
        <w:rPr>
          <w:rFonts w:hint="eastAsia" w:ascii="方正仿宋_GBK" w:hAnsi="宋体" w:eastAsia="方正仿宋_GBK"/>
          <w:sz w:val="32"/>
          <w:szCs w:val="32"/>
        </w:rPr>
        <w:t>统筹兼顾、明确目标</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规划编制要与地区经济社会发展总体规划、流域和区域水资源综合规划及行业发展规划相协调，统筹解决区域水资源开发利用、节约与保护问题，区分轻重缓急，明确阶段工作目标，稳步有序地推进节水工作。</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3.2.1.2</w:t>
      </w:r>
      <w:r>
        <w:rPr>
          <w:rFonts w:hint="eastAsia" w:ascii="方正仿宋_GBK" w:hAnsi="宋体" w:eastAsia="方正仿宋_GBK"/>
          <w:sz w:val="32"/>
          <w:szCs w:val="32"/>
        </w:rPr>
        <w:t>因地制宜、分类实施</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全面分析评价本地区水资源开发利用、节约、保护及管理情况，立足于区域现状，抓住本地区节水型社会建设和最严格水资源管理制度中的关键问题和薄弱环节，确定“十四五”节水型社会建设的总体布局和发展目标。按照确定的目标任务和经济保障能力制定详实的工作计划，逐年度实施，切实提高节约用水各项工作的针对性和有效性。</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3.2.1.3</w:t>
      </w:r>
      <w:r>
        <w:rPr>
          <w:rFonts w:hint="eastAsia" w:ascii="方正仿宋_GBK" w:hAnsi="宋体" w:eastAsia="方正仿宋_GBK"/>
          <w:sz w:val="32"/>
          <w:szCs w:val="32"/>
        </w:rPr>
        <w:t>突出重点、示范推广</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强化水资源刚性约束，围绕区域用水总量和用水效率控制目标，以强化节水制度实施和建设各类节水工程为重点，以节水型载体建设为抓手，引领水资源管理各项工作的落实，推广应用节水科技和先进节水技术。</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3.2.1.4</w:t>
      </w:r>
      <w:r>
        <w:rPr>
          <w:rFonts w:hint="eastAsia" w:ascii="方正仿宋_GBK" w:hAnsi="宋体" w:eastAsia="方正仿宋_GBK"/>
          <w:sz w:val="32"/>
          <w:szCs w:val="32"/>
        </w:rPr>
        <w:t>政府主导、各方参与</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加强政府对节水的引导和规制作用，建立政府主导、水利牵头、部门负责、镇</w:t>
      </w:r>
      <w:r>
        <w:rPr>
          <w:rFonts w:hint="eastAsia" w:ascii="方正仿宋_GBK" w:hAnsi="宋体" w:eastAsia="方正仿宋_GBK"/>
          <w:sz w:val="32"/>
          <w:szCs w:val="32"/>
          <w:lang w:eastAsia="zh-CN"/>
        </w:rPr>
        <w:t>街</w:t>
      </w:r>
      <w:r>
        <w:rPr>
          <w:rFonts w:hint="eastAsia" w:ascii="方正仿宋_GBK" w:hAnsi="宋体" w:eastAsia="方正仿宋_GBK"/>
          <w:sz w:val="32"/>
          <w:szCs w:val="32"/>
        </w:rPr>
        <w:t>属地落实、全社会共同参与的运行机制，加大公共财政对节水领域的投入，明确政府有关职能部门的职责分工，充分发挥各部门和全社会的积极性和创造性，为节水工作的落实提供保障。</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3.2.1.5</w:t>
      </w:r>
      <w:r>
        <w:rPr>
          <w:rFonts w:hint="eastAsia" w:ascii="方正仿宋_GBK" w:hAnsi="宋体" w:eastAsia="方正仿宋_GBK"/>
          <w:sz w:val="32"/>
          <w:szCs w:val="32"/>
        </w:rPr>
        <w:t>建管并重、政策保障</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按照“管行业必须管节水”的要求在加强节水工程和节水载体建设的同时，建立健全全社会统筹的节水管理体制和运行机制，推行节水市场服务机制、节水激励政策、节水工作目标考核和责任追究等政策机制。</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3.2.2编制依据</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3.2.2.1</w:t>
      </w:r>
      <w:r>
        <w:rPr>
          <w:rFonts w:hint="eastAsia" w:ascii="方正仿宋_GBK" w:hAnsi="宋体" w:eastAsia="方正仿宋_GBK"/>
          <w:sz w:val="32"/>
          <w:szCs w:val="32"/>
        </w:rPr>
        <w:t>法律法规</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《中华人民共和国水法》（2016年7月）</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《取水许可和水资源费征收管理条例》（2017年修订）</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《水效标识管理办法》（2018年3月）</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《重庆市水资源管理条例》（2015年10月）</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《重庆市节约用水管理办法（试行）》（渝府发〔2018〕42号）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《重庆市计划用水管理办法》（渝水〔2015〕19号）等。</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3.2.2.2</w:t>
      </w:r>
      <w:r>
        <w:rPr>
          <w:rFonts w:hint="eastAsia" w:ascii="方正仿宋_GBK" w:hAnsi="宋体" w:eastAsia="方正仿宋_GBK"/>
          <w:sz w:val="32"/>
          <w:szCs w:val="32"/>
        </w:rPr>
        <w:t>规程规范</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《节水型社区评价导则》（GB/T26928-2011）</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《节水型企业评价导则》（GB/T7119-2006）</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《服务业节水型单位评价导则》（GB/T26922-2011）</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《节水型产品通用技术条件》（GB/T18870-2016）</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《节水型生活用水器具》（CJ/T</w:t>
      </w:r>
      <w:r>
        <w:rPr>
          <w:rFonts w:hint="default" w:ascii="方正仿宋_GBK" w:hAnsi="宋体" w:eastAsia="方正仿宋_GBK"/>
          <w:sz w:val="32"/>
          <w:szCs w:val="32"/>
          <w:lang w:val="en"/>
        </w:rPr>
        <w:t xml:space="preserve"> </w:t>
      </w:r>
      <w:r>
        <w:rPr>
          <w:rFonts w:hint="eastAsia" w:ascii="方正仿宋_GBK" w:hAnsi="宋体" w:eastAsia="方正仿宋_GBK"/>
          <w:sz w:val="32"/>
          <w:szCs w:val="32"/>
        </w:rPr>
        <w:t>164-2014）</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《城市节水评价标准》（GB/T51083-2015）</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《城镇供水管网漏损控制及评定标准》（CJJ 92-2016）</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《建筑中水设计标准》（GB 50336-2018）</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《建筑与小区雨水控制及利用工程技术规范》（GB 504-2018）</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《重庆市城市生活用水定额（2017年修订版）》</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《重庆市灌溉用水定额（2017年修订版）》</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《重庆市第二批工业产品用水定额（2015 年调整）》等。</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3.2.2.3</w:t>
      </w:r>
      <w:r>
        <w:rPr>
          <w:rFonts w:hint="eastAsia" w:ascii="方正仿宋_GBK" w:hAnsi="宋体" w:eastAsia="方正仿宋_GBK"/>
          <w:sz w:val="32"/>
          <w:szCs w:val="32"/>
        </w:rPr>
        <w:t>技术文件及其他</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《水利部关于印发2020年水利系统节约用水工作要点及重点任务清单的通知》（水节约[2020]44 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《水利部关于开展县域节水型社会达标建设工作的通知》（水资源〔2017〕184号）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《国家发展和改革委员会住房城乡建设部关于加快建立健全城镇非居民用水超定额累进加价制度的指导意见》（发改价格〔2017〕1792号）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《全国节约用水办公室关于开展节水型居民小区建设工作的通知》（全节办〔2017〕1号）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《国家发展和改革委员会</w:t>
      </w:r>
      <w:r>
        <w:rPr>
          <w:rFonts w:hint="default" w:ascii="方正仿宋_GBK" w:hAnsi="宋体" w:eastAsia="方正仿宋_GBK"/>
          <w:sz w:val="32"/>
          <w:szCs w:val="32"/>
          <w:lang w:val="en"/>
        </w:rPr>
        <w:t xml:space="preserve"> </w:t>
      </w:r>
      <w:r>
        <w:rPr>
          <w:rFonts w:hint="eastAsia" w:ascii="方正仿宋_GBK" w:hAnsi="宋体" w:eastAsia="方正仿宋_GBK"/>
          <w:sz w:val="32"/>
          <w:szCs w:val="32"/>
        </w:rPr>
        <w:t>水利部 税务总局关于推行合同节水管理促进节水服务产业发展的意见》（发改环资〔2016〕1629 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《水利部 国家机关事务管理局 全国节约用水办公室关于开展公共机构节水型单位建设工作的通知》（水资源〔2013〕389 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《工业和信息化部 水利部 全国节约用水办公室关于深入推进节水型企业建设工作的通知》（工信部联节〔2012〕431号）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《国家发展和改革委员会 水利部 工信部 住建部 质检总局能源局关于印发&lt;水效领跑者引领行动实施方案&gt;的通知》（发改环资〔2016〕876号）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《水利部 国家发展和改革委员会关于印发&lt;灌区水效领跑者引领行 动实施细则&gt;的通知》（水农〔2016〕387 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《工信部办公厅 水利部办公厅 发改委办公厅 质检总局办公厅关于印发&lt;重点用水企业水效领跑者引领行动实施细则&gt;的通知》（工信厅联节〔2017〕16号）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《国家发展和改革委员会 财政部 水利部 农业农村部关于加大力 度推进农业水价综合改革工作的通知》（发改价格〔2018〕916号）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《水利部关于非常规水源纳入水资源统一配置 的指导意见》（水利资源〔2017〕274号）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《重庆市水利局 重庆市发展和改革委员会关于印发“十三五”水资源消耗总量和强度双控行动方案实施意见的通知》（渝水〔2017〕59号）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《重庆市水利局关于印发 2020 年全市节约用水工作要点及重点任 务清单的通知》（渝水节水〔2020〕1号）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《重庆市节水行动实施方案》（渝水〔2020〕30号）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《重庆市水利局 重庆市发展和改革委员会 重庆市财政局等9部门关于全面推进节水型社会建设的指导意见》（渝水〔20</w:t>
      </w:r>
      <w:r>
        <w:rPr>
          <w:rFonts w:hint="default" w:ascii="方正仿宋_GBK" w:hAnsi="宋体" w:eastAsia="方正仿宋_GBK"/>
          <w:sz w:val="32"/>
          <w:szCs w:val="32"/>
          <w:lang w:val="en"/>
        </w:rPr>
        <w:t>16</w:t>
      </w:r>
      <w:r>
        <w:rPr>
          <w:rFonts w:hint="eastAsia" w:ascii="方正仿宋_GBK" w:hAnsi="宋体" w:eastAsia="方正仿宋_GBK"/>
          <w:sz w:val="32"/>
          <w:szCs w:val="32"/>
        </w:rPr>
        <w:t>〕82号）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《重庆市物价局关于建立主城区居民用水阶梯价格制度的通知》（渝价〔20</w:t>
      </w:r>
      <w:r>
        <w:rPr>
          <w:rFonts w:hint="default" w:ascii="方正仿宋_GBK" w:hAnsi="宋体" w:eastAsia="方正仿宋_GBK"/>
          <w:sz w:val="32"/>
          <w:szCs w:val="32"/>
          <w:lang w:val="en"/>
        </w:rPr>
        <w:t>15</w:t>
      </w:r>
      <w:r>
        <w:rPr>
          <w:rFonts w:hint="eastAsia" w:ascii="方正仿宋_GBK" w:hAnsi="宋体" w:eastAsia="方正仿宋_GBK"/>
          <w:sz w:val="32"/>
          <w:szCs w:val="32"/>
        </w:rPr>
        <w:t>〕279号）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《重庆市人民政府办公厅关于推进农业水价综合改革(试点)的实施意见》（渝府办发〔20</w:t>
      </w:r>
      <w:r>
        <w:rPr>
          <w:rFonts w:hint="default" w:ascii="方正仿宋_GBK" w:hAnsi="宋体" w:eastAsia="方正仿宋_GBK"/>
          <w:sz w:val="32"/>
          <w:szCs w:val="32"/>
          <w:lang w:val="en"/>
        </w:rPr>
        <w:t>16</w:t>
      </w:r>
      <w:r>
        <w:rPr>
          <w:rFonts w:hint="eastAsia" w:ascii="方正仿宋_GBK" w:hAnsi="宋体" w:eastAsia="方正仿宋_GBK"/>
          <w:sz w:val="32"/>
          <w:szCs w:val="32"/>
        </w:rPr>
        <w:t>〕150号）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《重庆市物价局 重庆市水利局关于加强农业水价管理的指导意见》（渝价〔20</w:t>
      </w:r>
      <w:r>
        <w:rPr>
          <w:rFonts w:hint="default" w:ascii="方正仿宋_GBK" w:hAnsi="宋体" w:eastAsia="方正仿宋_GBK"/>
          <w:sz w:val="32"/>
          <w:szCs w:val="32"/>
          <w:lang w:val="en"/>
        </w:rPr>
        <w:t>18</w:t>
      </w:r>
      <w:r>
        <w:rPr>
          <w:rFonts w:hint="eastAsia" w:ascii="方正仿宋_GBK" w:hAnsi="宋体" w:eastAsia="方正仿宋_GBK"/>
          <w:sz w:val="32"/>
          <w:szCs w:val="32"/>
        </w:rPr>
        <w:t>〕89号）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《重庆市水利局办公室关于进步加强节水型社会建设工作的通知》（渝水办资源〔20</w:t>
      </w:r>
      <w:r>
        <w:rPr>
          <w:rFonts w:hint="default" w:ascii="方正仿宋_GBK" w:hAnsi="宋体" w:eastAsia="方正仿宋_GBK"/>
          <w:sz w:val="32"/>
          <w:szCs w:val="32"/>
          <w:lang w:val="en"/>
        </w:rPr>
        <w:t>18</w:t>
      </w:r>
      <w:r>
        <w:rPr>
          <w:rFonts w:hint="eastAsia" w:ascii="方正仿宋_GBK" w:hAnsi="宋体" w:eastAsia="方正仿宋_GBK"/>
          <w:sz w:val="32"/>
          <w:szCs w:val="32"/>
        </w:rPr>
        <w:t>〕34号）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《重庆市物价局 重庆市城市管理委员会 重庆市经济和信息化委员会 重庆市水利局关于印发&lt;重庆市建立健全城镇非居民用水超定额累进加价制度实施方案&gt;的通知》（渝价〔20</w:t>
      </w:r>
      <w:r>
        <w:rPr>
          <w:rFonts w:hint="default" w:ascii="方正仿宋_GBK" w:hAnsi="宋体" w:eastAsia="方正仿宋_GBK"/>
          <w:sz w:val="32"/>
          <w:szCs w:val="32"/>
          <w:lang w:val="en"/>
        </w:rPr>
        <w:t>18</w:t>
      </w:r>
      <w:r>
        <w:rPr>
          <w:rFonts w:hint="eastAsia" w:ascii="方正仿宋_GBK" w:hAnsi="宋体" w:eastAsia="方正仿宋_GBK"/>
          <w:sz w:val="32"/>
          <w:szCs w:val="32"/>
        </w:rPr>
        <w:t>〕117号）</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《重庆市“十四五”水安全保障规划思路报告》</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《重庆市“十四五”节约用水规划工作方案》</w:t>
      </w:r>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57" w:name="_Toc734255431"/>
      <w:bookmarkStart w:id="58" w:name="_Toc317434441"/>
      <w:bookmarkStart w:id="59" w:name="_Toc28194"/>
      <w:bookmarkStart w:id="60" w:name="_Toc814969377"/>
      <w:r>
        <w:rPr>
          <w:rFonts w:hint="eastAsia" w:ascii="方正楷体_GBK" w:hAnsi="Times New Roman" w:eastAsia="方正楷体_GBK" w:cs="Times New Roman"/>
          <w:b w:val="0"/>
          <w:bCs w:val="0"/>
          <w:sz w:val="32"/>
          <w:szCs w:val="32"/>
          <w:lang w:val="en-US" w:eastAsia="zh-CN"/>
        </w:rPr>
        <w:t>3.3规划范围及水平年</w:t>
      </w:r>
      <w:bookmarkEnd w:id="57"/>
      <w:bookmarkEnd w:id="58"/>
      <w:bookmarkEnd w:id="59"/>
      <w:bookmarkEnd w:id="60"/>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3.3.1规划范围</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规划范围为永川区行政区范围，包含中山路街道、胜利路街道、南大街街道、茶山竹海街道、大安街道、卫星湖街道、陈食街道、朱沱镇、三教镇、双石镇、临江镇、青峰镇、何埂镇、松溉镇、仙龙镇、来苏镇、红炉镇、金龙镇、板桥镇、吉安镇、永荣镇、宝峰镇、五间镇23个镇街。</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3.3.2规划水平年</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现状基准年：2020年；规划水平年：2025年。</w:t>
      </w:r>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61" w:name="_Toc890899712"/>
      <w:bookmarkStart w:id="62" w:name="_Toc1021"/>
      <w:bookmarkStart w:id="63" w:name="_Toc1064147287"/>
      <w:bookmarkStart w:id="64" w:name="_Toc718228361"/>
      <w:r>
        <w:rPr>
          <w:rFonts w:hint="eastAsia" w:ascii="方正楷体_GBK" w:hAnsi="Times New Roman" w:eastAsia="方正楷体_GBK" w:cs="Times New Roman"/>
          <w:b w:val="0"/>
          <w:bCs w:val="0"/>
          <w:sz w:val="32"/>
          <w:szCs w:val="32"/>
          <w:lang w:val="en-US" w:eastAsia="zh-CN"/>
        </w:rPr>
        <w:t>3.4规划目标</w:t>
      </w:r>
      <w:bookmarkEnd w:id="61"/>
      <w:bookmarkEnd w:id="62"/>
      <w:bookmarkEnd w:id="63"/>
      <w:bookmarkEnd w:id="64"/>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3.4.1节约用水指标体系</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坚持以水定城、以水定地、以水定人、以水定产，以水定需、因水制宜、量水而行，把水资源作为经济社会发展的最大刚性约束，严格实行总量、强度双控，强化节水约束性指标管理，加强重点领域节水，实施农业节水增效，推进工业节水减排，加强城镇节水降损，开展水效领跑者引领行动、高校合同节水管理、创建节水型示范单位等，全面提升全民节水意识。</w:t>
      </w:r>
    </w:p>
    <w:p>
      <w:pPr>
        <w:pageBreakBefore w:val="0"/>
        <w:widowControl w:val="0"/>
        <w:kinsoku/>
        <w:wordWrap/>
        <w:overflowPunct/>
        <w:topLinePunct w:val="0"/>
        <w:autoSpaceDE/>
        <w:autoSpaceDN/>
        <w:bidi w:val="0"/>
        <w:adjustRightInd/>
        <w:snapToGrid w:val="0"/>
        <w:spacing w:line="276" w:lineRule="auto"/>
        <w:ind w:firstLine="640" w:firstLineChars="200"/>
        <w:textAlignment w:val="auto"/>
        <w:outlineLvl w:val="9"/>
        <w:rPr>
          <w:rFonts w:ascii="方正仿宋_GBK" w:hAnsi="宋体" w:eastAsia="方正仿宋_GBK"/>
          <w:sz w:val="32"/>
          <w:szCs w:val="32"/>
        </w:rPr>
      </w:pPr>
      <w:r>
        <w:rPr>
          <w:rFonts w:hint="eastAsia" w:ascii="方正仿宋_GBK" w:hAnsi="宋体" w:eastAsia="方正仿宋_GBK"/>
          <w:sz w:val="32"/>
          <w:szCs w:val="32"/>
        </w:rPr>
        <w:t>到2025年，节水型生产和生活方式基本建立，节水产业初具规模，非常规水利用规模有所增大，用水效率和效益显著提高，全社会节水意识明显增强。</w:t>
      </w:r>
    </w:p>
    <w:p>
      <w:pPr>
        <w:snapToGrid w:val="0"/>
        <w:spacing w:beforeLines="0" w:afterLines="0" w:line="264" w:lineRule="auto"/>
        <w:ind w:firstLine="0" w:firstLineChars="0"/>
        <w:jc w:val="center"/>
        <w:rPr>
          <w:rFonts w:hint="eastAsia" w:ascii="方正楷体_GBK" w:hAnsi="方正楷体_GBK" w:eastAsia="方正楷体_GBK" w:cs="方正楷体_GBK"/>
          <w:sz w:val="30"/>
          <w:szCs w:val="30"/>
        </w:rPr>
      </w:pPr>
      <w:r>
        <w:rPr>
          <w:rFonts w:hint="eastAsia" w:ascii="方正楷体_GBK" w:hAnsi="方正楷体_GBK" w:eastAsia="方正楷体_GBK" w:cs="方正楷体_GBK"/>
          <w:sz w:val="30"/>
          <w:szCs w:val="30"/>
        </w:rPr>
        <w:t>表3.3-1  永川区“十四五”节约用水规划主要指标表</w:t>
      </w:r>
    </w:p>
    <w:tbl>
      <w:tblPr>
        <w:tblStyle w:val="17"/>
        <w:tblW w:w="5161" w:type="pct"/>
        <w:jc w:val="center"/>
        <w:tblLayout w:type="autofit"/>
        <w:tblCellMar>
          <w:top w:w="0" w:type="dxa"/>
          <w:left w:w="108" w:type="dxa"/>
          <w:bottom w:w="0" w:type="dxa"/>
          <w:right w:w="108" w:type="dxa"/>
        </w:tblCellMar>
      </w:tblPr>
      <w:tblGrid>
        <w:gridCol w:w="624"/>
        <w:gridCol w:w="1599"/>
        <w:gridCol w:w="3102"/>
        <w:gridCol w:w="1074"/>
        <w:gridCol w:w="985"/>
        <w:gridCol w:w="992"/>
        <w:gridCol w:w="977"/>
      </w:tblGrid>
      <w:tr>
        <w:tblPrEx>
          <w:tblCellMar>
            <w:top w:w="0" w:type="dxa"/>
            <w:left w:w="108" w:type="dxa"/>
            <w:bottom w:w="0" w:type="dxa"/>
            <w:right w:w="108" w:type="dxa"/>
          </w:tblCellMar>
        </w:tblPrEx>
        <w:trPr>
          <w:trHeight w:val="90" w:hRule="atLeast"/>
          <w:jc w:val="center"/>
        </w:trPr>
        <w:tc>
          <w:tcPr>
            <w:tcW w:w="334" w:type="pct"/>
            <w:tcBorders>
              <w:top w:val="single" w:color="000000" w:sz="8" w:space="0"/>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b/>
                <w:bCs/>
                <w:kern w:val="0"/>
                <w:sz w:val="21"/>
                <w:szCs w:val="21"/>
              </w:rPr>
            </w:pPr>
            <w:r>
              <w:rPr>
                <w:rFonts w:hint="eastAsia" w:ascii="方正仿宋_GBK" w:hAnsi="宋体" w:eastAsia="方正仿宋_GBK" w:cs="宋体"/>
                <w:b/>
                <w:bCs/>
                <w:kern w:val="0"/>
                <w:sz w:val="21"/>
                <w:szCs w:val="21"/>
              </w:rPr>
              <w:t>序号</w:t>
            </w:r>
          </w:p>
        </w:tc>
        <w:tc>
          <w:tcPr>
            <w:tcW w:w="2511" w:type="pct"/>
            <w:gridSpan w:val="2"/>
            <w:tcBorders>
              <w:top w:val="single" w:color="000000" w:sz="8" w:space="0"/>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b/>
                <w:bCs/>
                <w:kern w:val="0"/>
                <w:sz w:val="21"/>
                <w:szCs w:val="21"/>
              </w:rPr>
            </w:pPr>
            <w:r>
              <w:rPr>
                <w:rFonts w:hint="eastAsia" w:ascii="方正仿宋_GBK" w:hAnsi="宋体" w:eastAsia="方正仿宋_GBK" w:cs="宋体"/>
                <w:b/>
                <w:bCs/>
                <w:kern w:val="0"/>
                <w:sz w:val="21"/>
                <w:szCs w:val="21"/>
              </w:rPr>
              <w:t>指标名称</w:t>
            </w:r>
          </w:p>
        </w:tc>
        <w:tc>
          <w:tcPr>
            <w:tcW w:w="574" w:type="pct"/>
            <w:tcBorders>
              <w:top w:val="single" w:color="000000" w:sz="8" w:space="0"/>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b/>
                <w:bCs/>
                <w:kern w:val="0"/>
                <w:sz w:val="21"/>
                <w:szCs w:val="21"/>
              </w:rPr>
            </w:pPr>
            <w:r>
              <w:rPr>
                <w:rFonts w:hint="eastAsia" w:ascii="方正仿宋_GBK" w:hAnsi="宋体" w:eastAsia="方正仿宋_GBK" w:cs="宋体"/>
                <w:b/>
                <w:bCs/>
                <w:kern w:val="0"/>
                <w:sz w:val="21"/>
                <w:szCs w:val="21"/>
              </w:rPr>
              <w:t>单位</w:t>
            </w:r>
          </w:p>
        </w:tc>
        <w:tc>
          <w:tcPr>
            <w:tcW w:w="526" w:type="pct"/>
            <w:tcBorders>
              <w:top w:val="single" w:color="000000" w:sz="8" w:space="0"/>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b/>
                <w:bCs/>
                <w:kern w:val="0"/>
                <w:sz w:val="21"/>
                <w:szCs w:val="21"/>
              </w:rPr>
            </w:pPr>
            <w:r>
              <w:rPr>
                <w:rFonts w:hint="eastAsia" w:ascii="方正仿宋_GBK" w:hAnsi="Times New Roman" w:eastAsia="方正仿宋_GBK" w:cs="Times New Roman"/>
                <w:b/>
                <w:bCs/>
                <w:kern w:val="0"/>
                <w:sz w:val="21"/>
                <w:szCs w:val="21"/>
              </w:rPr>
              <w:t>2020</w:t>
            </w:r>
            <w:r>
              <w:rPr>
                <w:rFonts w:hint="eastAsia" w:ascii="方正仿宋_GBK" w:hAnsi="宋体" w:eastAsia="方正仿宋_GBK" w:cs="Times New Roman"/>
                <w:b/>
                <w:bCs/>
                <w:kern w:val="0"/>
                <w:sz w:val="21"/>
                <w:szCs w:val="21"/>
              </w:rPr>
              <w:t>年</w:t>
            </w:r>
          </w:p>
        </w:tc>
        <w:tc>
          <w:tcPr>
            <w:tcW w:w="530" w:type="pct"/>
            <w:tcBorders>
              <w:top w:val="single" w:color="000000" w:sz="8" w:space="0"/>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b/>
                <w:bCs/>
                <w:kern w:val="0"/>
                <w:sz w:val="21"/>
                <w:szCs w:val="21"/>
              </w:rPr>
            </w:pPr>
            <w:r>
              <w:rPr>
                <w:rFonts w:hint="eastAsia" w:ascii="方正仿宋_GBK" w:hAnsi="Times New Roman" w:eastAsia="方正仿宋_GBK" w:cs="Times New Roman"/>
                <w:b/>
                <w:bCs/>
                <w:kern w:val="0"/>
                <w:sz w:val="21"/>
                <w:szCs w:val="21"/>
              </w:rPr>
              <w:t>2025</w:t>
            </w:r>
            <w:r>
              <w:rPr>
                <w:rFonts w:hint="eastAsia" w:ascii="方正仿宋_GBK" w:hAnsi="宋体" w:eastAsia="方正仿宋_GBK" w:cs="Times New Roman"/>
                <w:b/>
                <w:bCs/>
                <w:kern w:val="0"/>
                <w:sz w:val="21"/>
                <w:szCs w:val="21"/>
              </w:rPr>
              <w:t>年</w:t>
            </w:r>
          </w:p>
        </w:tc>
        <w:tc>
          <w:tcPr>
            <w:tcW w:w="522" w:type="pct"/>
            <w:tcBorders>
              <w:top w:val="single" w:color="000000" w:sz="8" w:space="0"/>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hint="eastAsia" w:ascii="方正仿宋_GBK" w:hAnsi="仿宋" w:eastAsia="方正仿宋_GBK" w:cs="宋体"/>
                <w:b/>
                <w:bCs/>
                <w:kern w:val="0"/>
                <w:sz w:val="21"/>
                <w:szCs w:val="21"/>
              </w:rPr>
            </w:pPr>
            <w:r>
              <w:rPr>
                <w:rFonts w:hint="eastAsia" w:ascii="方正仿宋_GBK" w:hAnsi="仿宋" w:eastAsia="方正仿宋_GBK" w:cs="宋体"/>
                <w:b/>
                <w:bCs/>
                <w:kern w:val="0"/>
                <w:sz w:val="21"/>
                <w:szCs w:val="21"/>
              </w:rPr>
              <w:t>指标</w:t>
            </w:r>
          </w:p>
          <w:p>
            <w:pPr>
              <w:widowControl/>
              <w:adjustRightInd w:val="0"/>
              <w:snapToGrid w:val="0"/>
              <w:spacing w:line="240" w:lineRule="atLeast"/>
              <w:jc w:val="center"/>
              <w:rPr>
                <w:rFonts w:ascii="方正仿宋_GBK" w:hAnsi="仿宋" w:eastAsia="方正仿宋_GBK" w:cs="宋体"/>
                <w:b/>
                <w:bCs/>
                <w:kern w:val="0"/>
                <w:sz w:val="21"/>
                <w:szCs w:val="21"/>
              </w:rPr>
            </w:pPr>
            <w:r>
              <w:rPr>
                <w:rFonts w:hint="eastAsia" w:ascii="方正仿宋_GBK" w:hAnsi="仿宋" w:eastAsia="方正仿宋_GBK" w:cs="宋体"/>
                <w:b/>
                <w:bCs/>
                <w:kern w:val="0"/>
                <w:sz w:val="21"/>
                <w:szCs w:val="21"/>
              </w:rPr>
              <w:t>属性</w:t>
            </w:r>
          </w:p>
        </w:tc>
      </w:tr>
      <w:tr>
        <w:tblPrEx>
          <w:tblCellMar>
            <w:top w:w="0" w:type="dxa"/>
            <w:left w:w="108" w:type="dxa"/>
            <w:bottom w:w="0" w:type="dxa"/>
            <w:right w:w="108" w:type="dxa"/>
          </w:tblCellMar>
        </w:tblPrEx>
        <w:trPr>
          <w:trHeight w:val="90" w:hRule="atLeast"/>
          <w:jc w:val="center"/>
        </w:trPr>
        <w:tc>
          <w:tcPr>
            <w:tcW w:w="334" w:type="pct"/>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1</w:t>
            </w:r>
          </w:p>
        </w:tc>
        <w:tc>
          <w:tcPr>
            <w:tcW w:w="2511" w:type="pct"/>
            <w:gridSpan w:val="2"/>
            <w:tcBorders>
              <w:top w:val="single" w:color="000000" w:sz="8" w:space="0"/>
              <w:left w:val="nil"/>
              <w:bottom w:val="single" w:color="000000" w:sz="8" w:space="0"/>
              <w:right w:val="single" w:color="000000" w:sz="8" w:space="0"/>
            </w:tcBorders>
            <w:noWrap w:val="0"/>
            <w:vAlign w:val="center"/>
          </w:tcPr>
          <w:p>
            <w:pPr>
              <w:widowControl/>
              <w:adjustRightInd w:val="0"/>
              <w:snapToGrid w:val="0"/>
              <w:spacing w:line="240" w:lineRule="atLeast"/>
              <w:jc w:val="left"/>
              <w:rPr>
                <w:rFonts w:ascii="方正仿宋_GBK" w:hAnsi="宋体" w:eastAsia="方正仿宋_GBK" w:cs="宋体"/>
                <w:kern w:val="0"/>
                <w:sz w:val="21"/>
                <w:szCs w:val="21"/>
              </w:rPr>
            </w:pPr>
            <w:r>
              <w:rPr>
                <w:rFonts w:hint="eastAsia" w:ascii="方正仿宋_GBK" w:hAnsi="宋体" w:eastAsia="方正仿宋_GBK" w:cs="宋体"/>
                <w:kern w:val="0"/>
                <w:sz w:val="21"/>
                <w:szCs w:val="21"/>
              </w:rPr>
              <w:t>用水总量</w:t>
            </w:r>
          </w:p>
        </w:tc>
        <w:tc>
          <w:tcPr>
            <w:tcW w:w="574"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万</w:t>
            </w:r>
            <w:r>
              <w:rPr>
                <w:rFonts w:hint="eastAsia" w:ascii="方正仿宋_GBK" w:hAnsi="Times New Roman" w:eastAsia="方正仿宋_GBK" w:cs="Times New Roman"/>
                <w:kern w:val="0"/>
                <w:sz w:val="21"/>
                <w:szCs w:val="21"/>
              </w:rPr>
              <w:t>m</w:t>
            </w:r>
            <w:r>
              <w:rPr>
                <w:rFonts w:hint="eastAsia" w:ascii="方正仿宋_GBK" w:hAnsi="Times New Roman" w:eastAsia="方正仿宋_GBK" w:cs="Times New Roman"/>
                <w:kern w:val="0"/>
                <w:sz w:val="21"/>
                <w:szCs w:val="21"/>
                <w:vertAlign w:val="superscript"/>
              </w:rPr>
              <w:t>3</w:t>
            </w:r>
          </w:p>
        </w:tc>
        <w:tc>
          <w:tcPr>
            <w:tcW w:w="526"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39700</w:t>
            </w:r>
          </w:p>
        </w:tc>
        <w:tc>
          <w:tcPr>
            <w:tcW w:w="530"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hint="default" w:ascii="方正仿宋_GBK" w:hAnsi="Times New Roman" w:eastAsia="方正仿宋_GBK" w:cs="Times New Roman"/>
                <w:kern w:val="0"/>
                <w:sz w:val="21"/>
                <w:szCs w:val="21"/>
                <w:lang w:val="en-US" w:eastAsia="zh-CN"/>
              </w:rPr>
            </w:pPr>
            <w:r>
              <w:rPr>
                <w:rFonts w:hint="eastAsia" w:ascii="方正仿宋_GBK" w:hAnsi="Times New Roman" w:eastAsia="方正仿宋_GBK" w:cs="Times New Roman"/>
                <w:kern w:val="0"/>
                <w:sz w:val="21"/>
                <w:szCs w:val="21"/>
              </w:rPr>
              <w:t>4</w:t>
            </w:r>
            <w:r>
              <w:rPr>
                <w:rFonts w:hint="eastAsia" w:ascii="方正仿宋_GBK" w:hAnsi="Times New Roman" w:eastAsia="方正仿宋_GBK" w:cs="Times New Roman"/>
                <w:kern w:val="0"/>
                <w:sz w:val="21"/>
                <w:szCs w:val="21"/>
                <w:lang w:val="en-US" w:eastAsia="zh-CN"/>
              </w:rPr>
              <w:t>3597</w:t>
            </w:r>
          </w:p>
        </w:tc>
        <w:tc>
          <w:tcPr>
            <w:tcW w:w="522"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约束性</w:t>
            </w:r>
          </w:p>
        </w:tc>
      </w:tr>
      <w:tr>
        <w:tblPrEx>
          <w:tblCellMar>
            <w:top w:w="0" w:type="dxa"/>
            <w:left w:w="108" w:type="dxa"/>
            <w:bottom w:w="0" w:type="dxa"/>
            <w:right w:w="108" w:type="dxa"/>
          </w:tblCellMar>
        </w:tblPrEx>
        <w:trPr>
          <w:trHeight w:val="90" w:hRule="atLeast"/>
          <w:jc w:val="center"/>
        </w:trPr>
        <w:tc>
          <w:tcPr>
            <w:tcW w:w="334" w:type="pct"/>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2</w:t>
            </w:r>
          </w:p>
        </w:tc>
        <w:tc>
          <w:tcPr>
            <w:tcW w:w="2511" w:type="pct"/>
            <w:gridSpan w:val="2"/>
            <w:tcBorders>
              <w:top w:val="single" w:color="000000" w:sz="8" w:space="0"/>
              <w:left w:val="nil"/>
              <w:bottom w:val="single" w:color="000000" w:sz="8" w:space="0"/>
              <w:right w:val="single" w:color="000000" w:sz="8" w:space="0"/>
            </w:tcBorders>
            <w:noWrap w:val="0"/>
            <w:vAlign w:val="center"/>
          </w:tcPr>
          <w:p>
            <w:pPr>
              <w:widowControl/>
              <w:adjustRightInd w:val="0"/>
              <w:snapToGrid w:val="0"/>
              <w:spacing w:line="240" w:lineRule="atLeast"/>
              <w:jc w:val="left"/>
              <w:rPr>
                <w:rFonts w:ascii="方正仿宋_GBK" w:hAnsi="宋体" w:eastAsia="方正仿宋_GBK" w:cs="宋体"/>
                <w:kern w:val="0"/>
                <w:sz w:val="21"/>
                <w:szCs w:val="21"/>
              </w:rPr>
            </w:pPr>
            <w:r>
              <w:rPr>
                <w:rFonts w:hint="eastAsia" w:ascii="方正仿宋_GBK" w:hAnsi="宋体" w:eastAsia="方正仿宋_GBK" w:cs="宋体"/>
                <w:kern w:val="0"/>
                <w:sz w:val="21"/>
                <w:szCs w:val="21"/>
              </w:rPr>
              <w:t>单位地区生产总值用水量下降</w:t>
            </w:r>
          </w:p>
        </w:tc>
        <w:tc>
          <w:tcPr>
            <w:tcW w:w="574"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w:t>
            </w:r>
          </w:p>
        </w:tc>
        <w:tc>
          <w:tcPr>
            <w:tcW w:w="526"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w:t>
            </w:r>
          </w:p>
        </w:tc>
        <w:tc>
          <w:tcPr>
            <w:tcW w:w="530"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15</w:t>
            </w:r>
          </w:p>
        </w:tc>
        <w:tc>
          <w:tcPr>
            <w:tcW w:w="522"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约束性</w:t>
            </w:r>
          </w:p>
        </w:tc>
      </w:tr>
      <w:tr>
        <w:tblPrEx>
          <w:tblCellMar>
            <w:top w:w="0" w:type="dxa"/>
            <w:left w:w="108" w:type="dxa"/>
            <w:bottom w:w="0" w:type="dxa"/>
            <w:right w:w="108" w:type="dxa"/>
          </w:tblCellMar>
        </w:tblPrEx>
        <w:trPr>
          <w:trHeight w:val="90" w:hRule="atLeast"/>
          <w:jc w:val="center"/>
        </w:trPr>
        <w:tc>
          <w:tcPr>
            <w:tcW w:w="334" w:type="pct"/>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3</w:t>
            </w:r>
          </w:p>
        </w:tc>
        <w:tc>
          <w:tcPr>
            <w:tcW w:w="2511" w:type="pct"/>
            <w:gridSpan w:val="2"/>
            <w:tcBorders>
              <w:top w:val="single" w:color="000000" w:sz="8" w:space="0"/>
              <w:left w:val="nil"/>
              <w:bottom w:val="single" w:color="000000" w:sz="8" w:space="0"/>
              <w:right w:val="single" w:color="000000" w:sz="8" w:space="0"/>
            </w:tcBorders>
            <w:noWrap w:val="0"/>
            <w:vAlign w:val="center"/>
          </w:tcPr>
          <w:p>
            <w:pPr>
              <w:widowControl/>
              <w:adjustRightInd w:val="0"/>
              <w:snapToGrid w:val="0"/>
              <w:spacing w:line="240" w:lineRule="atLeast"/>
              <w:jc w:val="left"/>
              <w:rPr>
                <w:rFonts w:ascii="方正仿宋_GBK" w:hAnsi="宋体" w:eastAsia="方正仿宋_GBK" w:cs="宋体"/>
                <w:kern w:val="0"/>
                <w:sz w:val="21"/>
                <w:szCs w:val="21"/>
              </w:rPr>
            </w:pPr>
            <w:r>
              <w:rPr>
                <w:rFonts w:hint="eastAsia" w:ascii="方正仿宋_GBK" w:hAnsi="宋体" w:eastAsia="方正仿宋_GBK" w:cs="宋体"/>
                <w:kern w:val="0"/>
                <w:sz w:val="21"/>
                <w:szCs w:val="21"/>
              </w:rPr>
              <w:t>单位地区工业增加值用水量下降</w:t>
            </w:r>
          </w:p>
        </w:tc>
        <w:tc>
          <w:tcPr>
            <w:tcW w:w="574"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w:t>
            </w:r>
          </w:p>
        </w:tc>
        <w:tc>
          <w:tcPr>
            <w:tcW w:w="526"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18.14</w:t>
            </w:r>
          </w:p>
        </w:tc>
        <w:tc>
          <w:tcPr>
            <w:tcW w:w="530"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15</w:t>
            </w:r>
          </w:p>
        </w:tc>
        <w:tc>
          <w:tcPr>
            <w:tcW w:w="522"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约束性</w:t>
            </w:r>
          </w:p>
        </w:tc>
      </w:tr>
      <w:tr>
        <w:tblPrEx>
          <w:tblCellMar>
            <w:top w:w="0" w:type="dxa"/>
            <w:left w:w="108" w:type="dxa"/>
            <w:bottom w:w="0" w:type="dxa"/>
            <w:right w:w="108" w:type="dxa"/>
          </w:tblCellMar>
        </w:tblPrEx>
        <w:trPr>
          <w:trHeight w:val="90" w:hRule="atLeast"/>
          <w:jc w:val="center"/>
        </w:trPr>
        <w:tc>
          <w:tcPr>
            <w:tcW w:w="334" w:type="pct"/>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4</w:t>
            </w:r>
          </w:p>
        </w:tc>
        <w:tc>
          <w:tcPr>
            <w:tcW w:w="2511" w:type="pct"/>
            <w:gridSpan w:val="2"/>
            <w:tcBorders>
              <w:top w:val="single" w:color="000000" w:sz="8" w:space="0"/>
              <w:left w:val="nil"/>
              <w:bottom w:val="single" w:color="000000" w:sz="8" w:space="0"/>
              <w:right w:val="single" w:color="000000" w:sz="8" w:space="0"/>
            </w:tcBorders>
            <w:noWrap w:val="0"/>
            <w:vAlign w:val="center"/>
          </w:tcPr>
          <w:p>
            <w:pPr>
              <w:widowControl/>
              <w:adjustRightInd w:val="0"/>
              <w:snapToGrid w:val="0"/>
              <w:spacing w:line="240" w:lineRule="atLeast"/>
              <w:jc w:val="left"/>
              <w:rPr>
                <w:rFonts w:ascii="方正仿宋_GBK" w:hAnsi="宋体" w:eastAsia="方正仿宋_GBK" w:cs="宋体"/>
                <w:kern w:val="0"/>
                <w:sz w:val="21"/>
                <w:szCs w:val="21"/>
              </w:rPr>
            </w:pPr>
            <w:r>
              <w:rPr>
                <w:rFonts w:hint="eastAsia" w:ascii="方正仿宋_GBK" w:hAnsi="宋体" w:eastAsia="方正仿宋_GBK" w:cs="宋体"/>
                <w:kern w:val="0"/>
                <w:sz w:val="21"/>
                <w:szCs w:val="21"/>
              </w:rPr>
              <w:t>农田灌溉水利用系数</w:t>
            </w:r>
          </w:p>
        </w:tc>
        <w:tc>
          <w:tcPr>
            <w:tcW w:w="574"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　</w:t>
            </w:r>
          </w:p>
        </w:tc>
        <w:tc>
          <w:tcPr>
            <w:tcW w:w="526"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0.5082</w:t>
            </w:r>
          </w:p>
        </w:tc>
        <w:tc>
          <w:tcPr>
            <w:tcW w:w="530"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0.5224</w:t>
            </w:r>
          </w:p>
        </w:tc>
        <w:tc>
          <w:tcPr>
            <w:tcW w:w="522"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约束性</w:t>
            </w:r>
          </w:p>
        </w:tc>
      </w:tr>
      <w:tr>
        <w:tblPrEx>
          <w:tblCellMar>
            <w:top w:w="0" w:type="dxa"/>
            <w:left w:w="108" w:type="dxa"/>
            <w:bottom w:w="0" w:type="dxa"/>
            <w:right w:w="108" w:type="dxa"/>
          </w:tblCellMar>
        </w:tblPrEx>
        <w:trPr>
          <w:trHeight w:val="90" w:hRule="atLeast"/>
          <w:jc w:val="center"/>
        </w:trPr>
        <w:tc>
          <w:tcPr>
            <w:tcW w:w="334" w:type="pct"/>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5</w:t>
            </w:r>
          </w:p>
        </w:tc>
        <w:tc>
          <w:tcPr>
            <w:tcW w:w="2511" w:type="pct"/>
            <w:gridSpan w:val="2"/>
            <w:tcBorders>
              <w:top w:val="single" w:color="000000" w:sz="8" w:space="0"/>
              <w:left w:val="nil"/>
              <w:bottom w:val="single" w:color="000000" w:sz="8" w:space="0"/>
              <w:right w:val="single" w:color="000000" w:sz="8" w:space="0"/>
            </w:tcBorders>
            <w:noWrap w:val="0"/>
            <w:vAlign w:val="center"/>
          </w:tcPr>
          <w:p>
            <w:pPr>
              <w:widowControl/>
              <w:adjustRightInd w:val="0"/>
              <w:snapToGrid w:val="0"/>
              <w:spacing w:line="240" w:lineRule="atLeast"/>
              <w:jc w:val="left"/>
              <w:rPr>
                <w:rFonts w:ascii="方正仿宋_GBK" w:hAnsi="宋体" w:eastAsia="方正仿宋_GBK" w:cs="宋体"/>
                <w:kern w:val="0"/>
                <w:sz w:val="21"/>
                <w:szCs w:val="21"/>
              </w:rPr>
            </w:pPr>
            <w:r>
              <w:rPr>
                <w:rFonts w:hint="eastAsia" w:ascii="方正仿宋_GBK" w:hAnsi="宋体" w:eastAsia="方正仿宋_GBK" w:cs="宋体"/>
                <w:kern w:val="0"/>
                <w:sz w:val="21"/>
                <w:szCs w:val="21"/>
              </w:rPr>
              <w:t>规模以上工业企业工业用水重复利用率</w:t>
            </w:r>
          </w:p>
        </w:tc>
        <w:tc>
          <w:tcPr>
            <w:tcW w:w="574"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w:t>
            </w:r>
          </w:p>
        </w:tc>
        <w:tc>
          <w:tcPr>
            <w:tcW w:w="526"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90</w:t>
            </w:r>
          </w:p>
        </w:tc>
        <w:tc>
          <w:tcPr>
            <w:tcW w:w="530"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92</w:t>
            </w:r>
          </w:p>
        </w:tc>
        <w:tc>
          <w:tcPr>
            <w:tcW w:w="522"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预期性</w:t>
            </w:r>
          </w:p>
        </w:tc>
      </w:tr>
      <w:tr>
        <w:tblPrEx>
          <w:tblCellMar>
            <w:top w:w="0" w:type="dxa"/>
            <w:left w:w="108" w:type="dxa"/>
            <w:bottom w:w="0" w:type="dxa"/>
            <w:right w:w="108" w:type="dxa"/>
          </w:tblCellMar>
        </w:tblPrEx>
        <w:trPr>
          <w:trHeight w:val="90" w:hRule="atLeast"/>
          <w:jc w:val="center"/>
        </w:trPr>
        <w:tc>
          <w:tcPr>
            <w:tcW w:w="334" w:type="pct"/>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6</w:t>
            </w:r>
          </w:p>
        </w:tc>
        <w:tc>
          <w:tcPr>
            <w:tcW w:w="2511" w:type="pct"/>
            <w:gridSpan w:val="2"/>
            <w:tcBorders>
              <w:top w:val="single" w:color="000000" w:sz="8" w:space="0"/>
              <w:left w:val="nil"/>
              <w:bottom w:val="single" w:color="000000" w:sz="8" w:space="0"/>
              <w:right w:val="single" w:color="000000" w:sz="8" w:space="0"/>
            </w:tcBorders>
            <w:noWrap w:val="0"/>
            <w:vAlign w:val="center"/>
          </w:tcPr>
          <w:p>
            <w:pPr>
              <w:widowControl/>
              <w:adjustRightInd w:val="0"/>
              <w:snapToGrid w:val="0"/>
              <w:spacing w:line="240" w:lineRule="atLeast"/>
              <w:jc w:val="left"/>
              <w:rPr>
                <w:rFonts w:ascii="方正仿宋_GBK" w:hAnsi="宋体" w:eastAsia="方正仿宋_GBK" w:cs="宋体"/>
                <w:kern w:val="0"/>
                <w:sz w:val="21"/>
                <w:szCs w:val="21"/>
              </w:rPr>
            </w:pPr>
            <w:r>
              <w:rPr>
                <w:rFonts w:hint="eastAsia" w:ascii="方正仿宋_GBK" w:hAnsi="宋体" w:eastAsia="方正仿宋_GBK" w:cs="宋体"/>
                <w:kern w:val="0"/>
                <w:sz w:val="21"/>
                <w:szCs w:val="21"/>
              </w:rPr>
              <w:t>城镇公共供水管网漏损率</w:t>
            </w:r>
          </w:p>
        </w:tc>
        <w:tc>
          <w:tcPr>
            <w:tcW w:w="574"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w:t>
            </w:r>
          </w:p>
        </w:tc>
        <w:tc>
          <w:tcPr>
            <w:tcW w:w="526"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7.8</w:t>
            </w:r>
          </w:p>
        </w:tc>
        <w:tc>
          <w:tcPr>
            <w:tcW w:w="530"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r>
              <w:rPr>
                <w:rFonts w:hint="eastAsia" w:ascii="方正仿宋_GBK" w:hAnsi="Times New Roman" w:eastAsia="方正仿宋_GBK" w:cs="Times New Roman"/>
                <w:kern w:val="0"/>
                <w:sz w:val="21"/>
                <w:szCs w:val="21"/>
              </w:rPr>
              <w:t>10</w:t>
            </w:r>
          </w:p>
        </w:tc>
        <w:tc>
          <w:tcPr>
            <w:tcW w:w="522"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预期性</w:t>
            </w:r>
          </w:p>
        </w:tc>
      </w:tr>
      <w:tr>
        <w:tblPrEx>
          <w:tblCellMar>
            <w:top w:w="0" w:type="dxa"/>
            <w:left w:w="108" w:type="dxa"/>
            <w:bottom w:w="0" w:type="dxa"/>
            <w:right w:w="108" w:type="dxa"/>
          </w:tblCellMar>
        </w:tblPrEx>
        <w:trPr>
          <w:trHeight w:val="90" w:hRule="atLeast"/>
          <w:jc w:val="center"/>
        </w:trPr>
        <w:tc>
          <w:tcPr>
            <w:tcW w:w="334" w:type="pct"/>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7</w:t>
            </w:r>
          </w:p>
        </w:tc>
        <w:tc>
          <w:tcPr>
            <w:tcW w:w="2511" w:type="pct"/>
            <w:gridSpan w:val="2"/>
            <w:tcBorders>
              <w:top w:val="single" w:color="000000" w:sz="8" w:space="0"/>
              <w:left w:val="nil"/>
              <w:bottom w:val="single" w:color="000000" w:sz="8" w:space="0"/>
              <w:right w:val="single" w:color="000000" w:sz="8" w:space="0"/>
            </w:tcBorders>
            <w:noWrap w:val="0"/>
            <w:vAlign w:val="center"/>
          </w:tcPr>
          <w:p>
            <w:pPr>
              <w:widowControl/>
              <w:adjustRightInd w:val="0"/>
              <w:snapToGrid w:val="0"/>
              <w:spacing w:line="240" w:lineRule="atLeast"/>
              <w:jc w:val="left"/>
              <w:rPr>
                <w:rFonts w:ascii="方正仿宋_GBK" w:hAnsi="宋体" w:eastAsia="方正仿宋_GBK" w:cs="宋体"/>
                <w:kern w:val="0"/>
                <w:sz w:val="21"/>
                <w:szCs w:val="21"/>
              </w:rPr>
            </w:pPr>
            <w:r>
              <w:rPr>
                <w:rFonts w:hint="eastAsia" w:ascii="方正仿宋_GBK" w:hAnsi="宋体" w:eastAsia="方正仿宋_GBK" w:cs="宋体"/>
                <w:kern w:val="0"/>
                <w:sz w:val="21"/>
                <w:szCs w:val="21"/>
              </w:rPr>
              <w:t>非常规水源利用量（不含尾水发电）</w:t>
            </w:r>
          </w:p>
        </w:tc>
        <w:tc>
          <w:tcPr>
            <w:tcW w:w="574"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万</w:t>
            </w:r>
            <w:r>
              <w:rPr>
                <w:rFonts w:hint="eastAsia" w:ascii="方正仿宋_GBK" w:hAnsi="Times New Roman" w:eastAsia="方正仿宋_GBK" w:cs="Times New Roman"/>
                <w:kern w:val="0"/>
                <w:sz w:val="21"/>
                <w:szCs w:val="21"/>
              </w:rPr>
              <w:t>m</w:t>
            </w:r>
            <w:r>
              <w:rPr>
                <w:rFonts w:hint="eastAsia" w:ascii="方正仿宋_GBK" w:hAnsi="Times New Roman" w:eastAsia="方正仿宋_GBK" w:cs="Times New Roman"/>
                <w:kern w:val="0"/>
                <w:sz w:val="21"/>
                <w:szCs w:val="21"/>
                <w:vertAlign w:val="superscript"/>
              </w:rPr>
              <w:t>3</w:t>
            </w:r>
          </w:p>
        </w:tc>
        <w:tc>
          <w:tcPr>
            <w:tcW w:w="526"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117</w:t>
            </w:r>
          </w:p>
        </w:tc>
        <w:tc>
          <w:tcPr>
            <w:tcW w:w="530"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1460</w:t>
            </w:r>
          </w:p>
        </w:tc>
        <w:tc>
          <w:tcPr>
            <w:tcW w:w="522"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预期性</w:t>
            </w:r>
          </w:p>
        </w:tc>
      </w:tr>
      <w:tr>
        <w:tblPrEx>
          <w:tblCellMar>
            <w:top w:w="0" w:type="dxa"/>
            <w:left w:w="108" w:type="dxa"/>
            <w:bottom w:w="0" w:type="dxa"/>
            <w:right w:w="108" w:type="dxa"/>
          </w:tblCellMar>
        </w:tblPrEx>
        <w:trPr>
          <w:trHeight w:val="90" w:hRule="atLeast"/>
          <w:jc w:val="center"/>
        </w:trPr>
        <w:tc>
          <w:tcPr>
            <w:tcW w:w="334" w:type="pct"/>
            <w:vMerge w:val="restart"/>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8</w:t>
            </w:r>
          </w:p>
        </w:tc>
        <w:tc>
          <w:tcPr>
            <w:tcW w:w="854" w:type="pct"/>
            <w:vMerge w:val="restart"/>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用水计量率</w:t>
            </w:r>
          </w:p>
        </w:tc>
        <w:tc>
          <w:tcPr>
            <w:tcW w:w="1657"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left"/>
              <w:rPr>
                <w:rFonts w:ascii="方正仿宋_GBK" w:hAnsi="宋体" w:eastAsia="方正仿宋_GBK" w:cs="宋体"/>
                <w:kern w:val="0"/>
                <w:sz w:val="21"/>
                <w:szCs w:val="21"/>
              </w:rPr>
            </w:pPr>
            <w:r>
              <w:rPr>
                <w:rFonts w:hint="eastAsia" w:ascii="方正仿宋_GBK" w:hAnsi="宋体" w:eastAsia="方正仿宋_GBK" w:cs="宋体"/>
                <w:kern w:val="0"/>
                <w:sz w:val="21"/>
                <w:szCs w:val="21"/>
              </w:rPr>
              <w:t>农业灌溉用水计量率</w:t>
            </w:r>
          </w:p>
        </w:tc>
        <w:tc>
          <w:tcPr>
            <w:tcW w:w="574"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w:t>
            </w:r>
          </w:p>
        </w:tc>
        <w:tc>
          <w:tcPr>
            <w:tcW w:w="526"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60</w:t>
            </w:r>
          </w:p>
        </w:tc>
        <w:tc>
          <w:tcPr>
            <w:tcW w:w="530"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hint="default" w:ascii="方正仿宋_GBK" w:hAnsi="Times New Roman" w:eastAsia="方正仿宋_GBK" w:cs="Times New Roman"/>
                <w:kern w:val="0"/>
                <w:sz w:val="21"/>
                <w:szCs w:val="21"/>
                <w:lang w:val="en-US" w:eastAsia="zh-CN"/>
              </w:rPr>
            </w:pPr>
            <w:r>
              <w:rPr>
                <w:rFonts w:hint="eastAsia" w:ascii="方正仿宋_GBK" w:hAnsi="Times New Roman" w:eastAsia="方正仿宋_GBK" w:cs="Times New Roman"/>
                <w:color w:val="auto"/>
                <w:kern w:val="0"/>
                <w:sz w:val="21"/>
                <w:szCs w:val="21"/>
                <w:lang w:val="en-US" w:eastAsia="zh-CN"/>
              </w:rPr>
              <w:t>80</w:t>
            </w:r>
          </w:p>
        </w:tc>
        <w:tc>
          <w:tcPr>
            <w:tcW w:w="522"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预期性</w:t>
            </w:r>
          </w:p>
        </w:tc>
      </w:tr>
      <w:tr>
        <w:tblPrEx>
          <w:tblCellMar>
            <w:top w:w="0" w:type="dxa"/>
            <w:left w:w="108" w:type="dxa"/>
            <w:bottom w:w="0" w:type="dxa"/>
            <w:right w:w="108" w:type="dxa"/>
          </w:tblCellMar>
        </w:tblPrEx>
        <w:trPr>
          <w:trHeight w:val="90" w:hRule="atLeast"/>
          <w:jc w:val="center"/>
        </w:trPr>
        <w:tc>
          <w:tcPr>
            <w:tcW w:w="334" w:type="pct"/>
            <w:vMerge w:val="continue"/>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p>
        </w:tc>
        <w:tc>
          <w:tcPr>
            <w:tcW w:w="854" w:type="pct"/>
            <w:vMerge w:val="continue"/>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p>
        </w:tc>
        <w:tc>
          <w:tcPr>
            <w:tcW w:w="1657"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left"/>
              <w:rPr>
                <w:rFonts w:ascii="方正仿宋_GBK" w:hAnsi="宋体" w:eastAsia="方正仿宋_GBK" w:cs="宋体"/>
                <w:kern w:val="0"/>
                <w:sz w:val="21"/>
                <w:szCs w:val="21"/>
              </w:rPr>
            </w:pPr>
            <w:r>
              <w:rPr>
                <w:rFonts w:hint="eastAsia" w:ascii="方正仿宋_GBK" w:hAnsi="宋体" w:eastAsia="方正仿宋_GBK" w:cs="宋体"/>
                <w:kern w:val="0"/>
                <w:sz w:val="21"/>
                <w:szCs w:val="21"/>
              </w:rPr>
              <w:t>工业用水计量率</w:t>
            </w:r>
          </w:p>
        </w:tc>
        <w:tc>
          <w:tcPr>
            <w:tcW w:w="574"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w:t>
            </w:r>
          </w:p>
        </w:tc>
        <w:tc>
          <w:tcPr>
            <w:tcW w:w="526"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100</w:t>
            </w:r>
          </w:p>
        </w:tc>
        <w:tc>
          <w:tcPr>
            <w:tcW w:w="530"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100</w:t>
            </w:r>
          </w:p>
        </w:tc>
        <w:tc>
          <w:tcPr>
            <w:tcW w:w="522"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预期性</w:t>
            </w:r>
          </w:p>
        </w:tc>
      </w:tr>
      <w:tr>
        <w:tblPrEx>
          <w:tblCellMar>
            <w:top w:w="0" w:type="dxa"/>
            <w:left w:w="108" w:type="dxa"/>
            <w:bottom w:w="0" w:type="dxa"/>
            <w:right w:w="108" w:type="dxa"/>
          </w:tblCellMar>
        </w:tblPrEx>
        <w:trPr>
          <w:trHeight w:val="90" w:hRule="atLeast"/>
          <w:jc w:val="center"/>
        </w:trPr>
        <w:tc>
          <w:tcPr>
            <w:tcW w:w="334" w:type="pct"/>
            <w:vMerge w:val="continue"/>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p>
        </w:tc>
        <w:tc>
          <w:tcPr>
            <w:tcW w:w="854" w:type="pct"/>
            <w:vMerge w:val="continue"/>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p>
        </w:tc>
        <w:tc>
          <w:tcPr>
            <w:tcW w:w="1657"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left"/>
              <w:rPr>
                <w:rFonts w:ascii="方正仿宋_GBK" w:hAnsi="宋体" w:eastAsia="方正仿宋_GBK" w:cs="宋体"/>
                <w:kern w:val="0"/>
                <w:sz w:val="21"/>
                <w:szCs w:val="21"/>
              </w:rPr>
            </w:pPr>
            <w:r>
              <w:rPr>
                <w:rFonts w:hint="eastAsia" w:ascii="方正仿宋_GBK" w:hAnsi="宋体" w:eastAsia="方正仿宋_GBK" w:cs="宋体"/>
                <w:kern w:val="0"/>
                <w:sz w:val="21"/>
                <w:szCs w:val="21"/>
              </w:rPr>
              <w:t>城镇用水计量率</w:t>
            </w:r>
          </w:p>
        </w:tc>
        <w:tc>
          <w:tcPr>
            <w:tcW w:w="574"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w:t>
            </w:r>
          </w:p>
        </w:tc>
        <w:tc>
          <w:tcPr>
            <w:tcW w:w="526"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100</w:t>
            </w:r>
          </w:p>
        </w:tc>
        <w:tc>
          <w:tcPr>
            <w:tcW w:w="530"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100</w:t>
            </w:r>
          </w:p>
        </w:tc>
        <w:tc>
          <w:tcPr>
            <w:tcW w:w="522"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预期性</w:t>
            </w:r>
          </w:p>
        </w:tc>
      </w:tr>
      <w:tr>
        <w:tblPrEx>
          <w:tblCellMar>
            <w:top w:w="0" w:type="dxa"/>
            <w:left w:w="108" w:type="dxa"/>
            <w:bottom w:w="0" w:type="dxa"/>
            <w:right w:w="108" w:type="dxa"/>
          </w:tblCellMar>
        </w:tblPrEx>
        <w:trPr>
          <w:trHeight w:val="374" w:hRule="atLeast"/>
          <w:jc w:val="center"/>
        </w:trPr>
        <w:tc>
          <w:tcPr>
            <w:tcW w:w="334" w:type="pct"/>
            <w:vMerge w:val="restart"/>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9</w:t>
            </w:r>
          </w:p>
        </w:tc>
        <w:tc>
          <w:tcPr>
            <w:tcW w:w="854" w:type="pct"/>
            <w:vMerge w:val="restart"/>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节水载体建</w:t>
            </w:r>
          </w:p>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成率</w:t>
            </w:r>
          </w:p>
        </w:tc>
        <w:tc>
          <w:tcPr>
            <w:tcW w:w="1657"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left"/>
              <w:rPr>
                <w:rFonts w:ascii="方正仿宋_GBK" w:hAnsi="宋体" w:eastAsia="方正仿宋_GBK" w:cs="宋体"/>
                <w:kern w:val="0"/>
                <w:sz w:val="21"/>
                <w:szCs w:val="21"/>
              </w:rPr>
            </w:pPr>
            <w:r>
              <w:rPr>
                <w:rFonts w:hint="eastAsia" w:ascii="方正仿宋_GBK" w:hAnsi="宋体" w:eastAsia="方正仿宋_GBK" w:cs="宋体"/>
                <w:kern w:val="0"/>
                <w:sz w:val="21"/>
                <w:szCs w:val="21"/>
              </w:rPr>
              <w:t>规模以上重点用水行业节水型企业覆盖率</w:t>
            </w:r>
          </w:p>
        </w:tc>
        <w:tc>
          <w:tcPr>
            <w:tcW w:w="574"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w:t>
            </w:r>
          </w:p>
        </w:tc>
        <w:tc>
          <w:tcPr>
            <w:tcW w:w="526"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hint="default" w:ascii="方正仿宋_GBK" w:hAnsi="Times New Roman" w:eastAsia="方正仿宋_GBK" w:cs="Times New Roman"/>
                <w:kern w:val="0"/>
                <w:sz w:val="21"/>
                <w:szCs w:val="21"/>
                <w:lang w:val="en-US" w:eastAsia="zh-CN"/>
              </w:rPr>
            </w:pPr>
            <w:r>
              <w:rPr>
                <w:rFonts w:hint="eastAsia" w:ascii="方正仿宋_GBK" w:hAnsi="Times New Roman" w:eastAsia="方正仿宋_GBK" w:cs="Times New Roman"/>
                <w:kern w:val="0"/>
                <w:sz w:val="21"/>
                <w:szCs w:val="21"/>
                <w:lang w:val="en-US" w:eastAsia="zh-CN"/>
              </w:rPr>
              <w:t>45</w:t>
            </w:r>
          </w:p>
        </w:tc>
        <w:tc>
          <w:tcPr>
            <w:tcW w:w="530"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hint="default" w:ascii="方正仿宋_GBK" w:hAnsi="Times New Roman" w:eastAsia="方正仿宋_GBK" w:cs="Times New Roman"/>
                <w:kern w:val="0"/>
                <w:sz w:val="21"/>
                <w:szCs w:val="21"/>
                <w:lang w:val="en-US" w:eastAsia="zh-CN"/>
              </w:rPr>
            </w:pPr>
            <w:r>
              <w:rPr>
                <w:rFonts w:hint="eastAsia" w:ascii="方正仿宋_GBK" w:hAnsi="Times New Roman" w:eastAsia="方正仿宋_GBK" w:cs="Times New Roman"/>
                <w:color w:val="auto"/>
                <w:kern w:val="0"/>
                <w:sz w:val="21"/>
                <w:szCs w:val="21"/>
                <w:lang w:val="en-US" w:eastAsia="zh-CN"/>
              </w:rPr>
              <w:t>100</w:t>
            </w:r>
          </w:p>
        </w:tc>
        <w:tc>
          <w:tcPr>
            <w:tcW w:w="522"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预期性</w:t>
            </w:r>
          </w:p>
        </w:tc>
      </w:tr>
      <w:tr>
        <w:tblPrEx>
          <w:tblCellMar>
            <w:top w:w="0" w:type="dxa"/>
            <w:left w:w="108" w:type="dxa"/>
            <w:bottom w:w="0" w:type="dxa"/>
            <w:right w:w="108" w:type="dxa"/>
          </w:tblCellMar>
        </w:tblPrEx>
        <w:trPr>
          <w:trHeight w:val="90" w:hRule="atLeast"/>
          <w:jc w:val="center"/>
        </w:trPr>
        <w:tc>
          <w:tcPr>
            <w:tcW w:w="334" w:type="pct"/>
            <w:vMerge w:val="continue"/>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p>
        </w:tc>
        <w:tc>
          <w:tcPr>
            <w:tcW w:w="854" w:type="pct"/>
            <w:vMerge w:val="continue"/>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p>
        </w:tc>
        <w:tc>
          <w:tcPr>
            <w:tcW w:w="1657"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left"/>
              <w:rPr>
                <w:rFonts w:ascii="方正仿宋_GBK" w:hAnsi="宋体" w:eastAsia="方正仿宋_GBK" w:cs="宋体"/>
                <w:kern w:val="0"/>
                <w:sz w:val="21"/>
                <w:szCs w:val="21"/>
              </w:rPr>
            </w:pPr>
            <w:r>
              <w:rPr>
                <w:rFonts w:hint="eastAsia" w:ascii="方正仿宋_GBK" w:hAnsi="宋体" w:eastAsia="方正仿宋_GBK" w:cs="宋体"/>
                <w:kern w:val="0"/>
                <w:sz w:val="21"/>
                <w:szCs w:val="21"/>
              </w:rPr>
              <w:t>公共机构节水型单位建成率</w:t>
            </w:r>
          </w:p>
        </w:tc>
        <w:tc>
          <w:tcPr>
            <w:tcW w:w="574"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w:t>
            </w:r>
          </w:p>
        </w:tc>
        <w:tc>
          <w:tcPr>
            <w:tcW w:w="526"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62</w:t>
            </w:r>
          </w:p>
        </w:tc>
        <w:tc>
          <w:tcPr>
            <w:tcW w:w="530"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100</w:t>
            </w:r>
          </w:p>
        </w:tc>
        <w:tc>
          <w:tcPr>
            <w:tcW w:w="522"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预期性</w:t>
            </w:r>
          </w:p>
        </w:tc>
      </w:tr>
      <w:tr>
        <w:tblPrEx>
          <w:tblCellMar>
            <w:top w:w="0" w:type="dxa"/>
            <w:left w:w="108" w:type="dxa"/>
            <w:bottom w:w="0" w:type="dxa"/>
            <w:right w:w="108" w:type="dxa"/>
          </w:tblCellMar>
        </w:tblPrEx>
        <w:trPr>
          <w:trHeight w:val="90" w:hRule="atLeast"/>
          <w:jc w:val="center"/>
        </w:trPr>
        <w:tc>
          <w:tcPr>
            <w:tcW w:w="334" w:type="pct"/>
            <w:vMerge w:val="continue"/>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p>
        </w:tc>
        <w:tc>
          <w:tcPr>
            <w:tcW w:w="854" w:type="pct"/>
            <w:vMerge w:val="continue"/>
            <w:tcBorders>
              <w:top w:val="nil"/>
              <w:left w:val="single" w:color="000000" w:sz="8" w:space="0"/>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p>
        </w:tc>
        <w:tc>
          <w:tcPr>
            <w:tcW w:w="1657"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left"/>
              <w:rPr>
                <w:rFonts w:ascii="方正仿宋_GBK" w:hAnsi="宋体" w:eastAsia="方正仿宋_GBK" w:cs="宋体"/>
                <w:kern w:val="0"/>
                <w:sz w:val="21"/>
                <w:szCs w:val="21"/>
              </w:rPr>
            </w:pPr>
            <w:r>
              <w:rPr>
                <w:rFonts w:hint="eastAsia" w:ascii="方正仿宋_GBK" w:hAnsi="宋体" w:eastAsia="方正仿宋_GBK" w:cs="宋体"/>
                <w:kern w:val="0"/>
                <w:sz w:val="21"/>
                <w:szCs w:val="21"/>
              </w:rPr>
              <w:t>节水型小区创建率</w:t>
            </w:r>
          </w:p>
        </w:tc>
        <w:tc>
          <w:tcPr>
            <w:tcW w:w="574"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w:t>
            </w:r>
          </w:p>
        </w:tc>
        <w:tc>
          <w:tcPr>
            <w:tcW w:w="526"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17</w:t>
            </w:r>
          </w:p>
        </w:tc>
        <w:tc>
          <w:tcPr>
            <w:tcW w:w="530"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Times New Roman" w:eastAsia="方正仿宋_GBK" w:cs="Times New Roman"/>
                <w:kern w:val="0"/>
                <w:sz w:val="21"/>
                <w:szCs w:val="21"/>
              </w:rPr>
            </w:pPr>
            <w:r>
              <w:rPr>
                <w:rFonts w:hint="eastAsia" w:ascii="方正仿宋_GBK" w:hAnsi="Times New Roman" w:eastAsia="方正仿宋_GBK" w:cs="Times New Roman"/>
                <w:kern w:val="0"/>
                <w:sz w:val="21"/>
                <w:szCs w:val="21"/>
              </w:rPr>
              <w:t>40</w:t>
            </w:r>
          </w:p>
        </w:tc>
        <w:tc>
          <w:tcPr>
            <w:tcW w:w="522" w:type="pct"/>
            <w:tcBorders>
              <w:top w:val="nil"/>
              <w:left w:val="nil"/>
              <w:bottom w:val="single" w:color="000000" w:sz="8" w:space="0"/>
              <w:right w:val="single" w:color="000000" w:sz="8" w:space="0"/>
            </w:tcBorders>
            <w:noWrap w:val="0"/>
            <w:vAlign w:val="center"/>
          </w:tcPr>
          <w:p>
            <w:pPr>
              <w:widowControl/>
              <w:adjustRightInd w:val="0"/>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预期性</w:t>
            </w:r>
          </w:p>
        </w:tc>
      </w:tr>
    </w:tbl>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随着以上各项指标的实现， 2025年最终建立与永川相适应的节水型社会体系，即进一步完备节水法律体系、管理体制和运行机制；进一步完善水资源配置体系（工业、生活供用水体系）和水环境保护体系；进一步协调产业结构、布局与水资源承载能力；进一步完善健全节水文化体系，在维持良好生态环境的基础上实现水资源供需平衡，达到水资源可持续利用和经济社会可持续发展的目标。</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3.4.2节水目标</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lang w:val="en-US" w:eastAsia="zh-CN"/>
        </w:rPr>
        <w:t>3.4.2.1</w:t>
      </w:r>
      <w:r>
        <w:rPr>
          <w:rFonts w:hint="eastAsia" w:ascii="方正仿宋_GBK" w:hAnsi="宋体" w:eastAsia="方正仿宋_GBK"/>
          <w:sz w:val="32"/>
          <w:szCs w:val="32"/>
        </w:rPr>
        <w:t>生活节水目标</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生活节水与永川区的社会经济发展和人民生活水平条件相适应，同时考虑永川区人口和资源等条件，对水资源的供需进行合理的规划。通过强化管理、广泛宣传，建设和推广节水设施，逐步使用水定额得到控制，并使总用水量增长率逐步降低。通过开源、节流、非常规水利用等措施，缓解永川区水资源紧张的局面，使人口、经济、资源和环境协调发展，满足永川区用水的基本需求。至2025年永川区城市管网漏损率控制在8%以下，</w:t>
      </w:r>
      <w:r>
        <w:rPr>
          <w:rFonts w:hint="default" w:ascii="方正仿宋_GBK" w:hAnsi="宋体" w:eastAsia="方正仿宋_GBK"/>
          <w:sz w:val="32"/>
          <w:szCs w:val="32"/>
          <w:lang w:val="en"/>
        </w:rPr>
        <w:t>镇街</w:t>
      </w:r>
      <w:r>
        <w:rPr>
          <w:rFonts w:hint="eastAsia" w:ascii="方正仿宋_GBK" w:hAnsi="宋体" w:eastAsia="方正仿宋_GBK"/>
          <w:sz w:val="32"/>
          <w:szCs w:val="32"/>
        </w:rPr>
        <w:t>管网漏损率控制在10%以下，农村管网漏损率控制在12%以下。</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hint="eastAsia" w:ascii="方正仿宋_GBK" w:hAnsi="宋体" w:eastAsia="方正仿宋_GBK"/>
          <w:sz w:val="32"/>
          <w:szCs w:val="32"/>
          <w:lang w:val="en-US" w:eastAsia="zh-CN"/>
        </w:rPr>
      </w:pPr>
      <w:r>
        <w:rPr>
          <w:rFonts w:hint="eastAsia" w:ascii="方正仿宋_GBK" w:hAnsi="宋体" w:eastAsia="方正仿宋_GBK"/>
          <w:sz w:val="32"/>
          <w:szCs w:val="32"/>
          <w:lang w:val="en-US" w:eastAsia="zh-CN"/>
        </w:rPr>
        <w:t>3.4.2.2工业节水目标</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工业节水不仅考虑与城镇化发展相协调，而且应与水环境的治理、改善和保护的要求相配合，同时考虑工业自身的产业结构调整，技术水平升级以及产品的更新换代，工业节水的重点是提高工业用水重复利用率，改造高用水工艺设备从而提高节水型企业覆盖率。只2025年永川区万元工业增加值取水量较2020年下降15%，工业用水重复利用率达到92%。</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hint="eastAsia" w:ascii="方正仿宋_GBK" w:hAnsi="宋体" w:eastAsia="方正仿宋_GBK"/>
          <w:sz w:val="32"/>
          <w:szCs w:val="32"/>
          <w:lang w:val="en-US" w:eastAsia="zh-CN"/>
        </w:rPr>
      </w:pPr>
      <w:r>
        <w:rPr>
          <w:rFonts w:hint="eastAsia" w:ascii="方正仿宋_GBK" w:hAnsi="宋体" w:eastAsia="方正仿宋_GBK"/>
          <w:sz w:val="32"/>
          <w:szCs w:val="32"/>
          <w:lang w:val="en-US" w:eastAsia="zh-CN"/>
        </w:rPr>
        <w:t>3.4.2.3农业节水目标</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农业节水是节水重点之一，从节约资源和解决城镇用水需求角度来分析，农业用水应逐渐减少，必须发展现在高效节水农业，为整个国民经济的健康发展奠定基础。新建项目按节水灌溉标准执行，一步到位。目前，永川区灌溉水利用系数仅0.5082左右，通过实施高效节水强化方案，至2025年灌溉利用系数提高到0.5224。</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hint="eastAsia" w:ascii="方正仿宋_GBK" w:hAnsi="宋体" w:eastAsia="方正仿宋_GBK"/>
          <w:sz w:val="32"/>
          <w:szCs w:val="32"/>
          <w:lang w:val="en-US" w:eastAsia="zh-CN"/>
        </w:rPr>
      </w:pPr>
      <w:r>
        <w:rPr>
          <w:rFonts w:hint="eastAsia" w:ascii="方正仿宋_GBK" w:hAnsi="宋体" w:eastAsia="方正仿宋_GBK"/>
          <w:sz w:val="32"/>
          <w:szCs w:val="32"/>
          <w:lang w:val="en-US" w:eastAsia="zh-CN"/>
        </w:rPr>
        <w:t>3.4.2.4非常规水利用目标</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非常规水资源的利用是永川区节水型社会建设的一大重点，在有限地开发地表、地下水资源的同时，用非常规水源作为替代永川区优质水源，用以满足永川区生态、环卫等用水所需，尤其是随着永川区社会经济发展，永川区需要大量优质水源的基本保障。利用非常规水资源同样起到开源的作用，非常规水资源节水的重点是充分利用当地的自然环境所带来的优越条件，最大程度地处理生产生活所产生的污水。提高再生水利用率，节约优质水源提供给居民和生产的急需。</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在规划年内，人口将持续增长居民小区也必将增多，城镇化进程必然加快，因此可为新增的小区、单位、学校铺设再生水回用管道，生活污水净化后的再生水资源代替生活优质水源冲厕所、生态用水、景观用水。</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至2025年非常规化利用量达1460万m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hint="eastAsia" w:ascii="方正仿宋_GBK" w:hAnsi="宋体" w:eastAsia="方正仿宋_GBK"/>
          <w:sz w:val="32"/>
          <w:szCs w:val="32"/>
          <w:lang w:val="en-US" w:eastAsia="zh-CN"/>
        </w:rPr>
      </w:pPr>
      <w:r>
        <w:rPr>
          <w:rFonts w:hint="eastAsia" w:ascii="方正仿宋_GBK" w:hAnsi="宋体" w:eastAsia="方正仿宋_GBK"/>
          <w:sz w:val="32"/>
          <w:szCs w:val="32"/>
          <w:lang w:val="en-US" w:eastAsia="zh-CN"/>
        </w:rPr>
        <w:t>3.4.2.5水生态与环境利用目标</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近年来，随着永川区工业的发展，城镇化进程加快，用水量增多，水污染加重，着力推进水生态保护和水环境治理，使以水为载体的旅游景观用水，在水生态与环境中开发利用占有重要地位，坚持保护优先和自然恢复为主，维护河湖健康生态、改善城乡人居环境。</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随着永川区河长制工作的开展，在2017～2020年期间对全区点、面源污染进行大力整治，现已全面完成区内工企业、养殖户、污水处理厂等整改，加大了农业面源污染治理力度，使得永川区水生态与环境有了明显的改善，市控监测断面基本达标，重要水功能区水质达标率84.3%。在“十四五”时间水生态与环境利用目标是进一步推进河长制工作，针对存在的问题进行整治，加强排污监督管理确保其排污达标率为100%，城镇生活污水处理达标率100%。</w:t>
      </w:r>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65" w:name="_Toc279039819"/>
      <w:bookmarkStart w:id="66" w:name="_Toc68068357"/>
      <w:bookmarkStart w:id="67" w:name="_Toc713693657"/>
      <w:bookmarkStart w:id="68" w:name="_Toc19542"/>
      <w:r>
        <w:rPr>
          <w:rFonts w:hint="eastAsia" w:ascii="方正楷体_GBK" w:hAnsi="Times New Roman" w:eastAsia="方正楷体_GBK" w:cs="Times New Roman"/>
          <w:b w:val="0"/>
          <w:bCs w:val="0"/>
          <w:sz w:val="32"/>
          <w:szCs w:val="32"/>
          <w:lang w:val="en-US" w:eastAsia="zh-CN"/>
        </w:rPr>
        <w:t>3.5主要任务</w:t>
      </w:r>
      <w:bookmarkEnd w:id="65"/>
      <w:bookmarkEnd w:id="66"/>
      <w:bookmarkEnd w:id="67"/>
      <w:bookmarkEnd w:id="68"/>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永川区城市节水规划应该遵循“节流优先、治污为本、科学开源、综合利用”的原则，主要有以下几个方面任务。</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3.5.1完善用水制度建设</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节水的核心是制度建设，确保水资源的节约，首先要做到在城镇建设项目进行中，实施节水“三同时、四到位”制度（新建项目的主体工程与节水工程同时设计、同时施工、同时投产；节水指标到位、节水计划到位、节水设施到位、节水监督管理到位）的建立，建立完善企事业单位计划用水、定额用水、超计划累进加价管理制度。其次，在居民生活用水中，建立与节水型社会相适应的水价调节机制，实行居民阶梯水价，以水价的限制确保居民生活用水量的节约。再次，建立公共生活用水规章制度，做到公共水资源的合理高效利用，坚决杜绝浪费水资源的行为。建立再生水利用价格体系，鼓励使用再生水，通过完善机制创新，加强制度建设，逐步形成有利于节约用水和水资源高效利用与有效保护的水管理体制及机制。</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3.5.2推进城乡一体化供水建设</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紧紧围绕习近平总书记提出的西南地区主要解决储水、供水和水质达标问题的重要指示，按照建立健全城乡融合发展体制机制和乡村振兴战略部署，聚焦民生改善，统筹规划建设水源工程和城乡供水工程，推动形成主体统一、水源统筹、水量保障、水质无忧的城乡一体化供水新格局。条件较好地区，通过城市供水管网延伸周边村镇，结合水源工程建设城乡一体化供水工程，积极引入市场机制，大力推进城乡一体化、规模化供水；其他地区，以人口聚集的镇（乡、街道）或行政村为中心，依托水源工程建设，改造既有</w:t>
      </w:r>
      <w:r>
        <w:rPr>
          <w:rFonts w:hint="default" w:ascii="方正仿宋_GBK" w:hAnsi="宋体" w:eastAsia="方正仿宋_GBK"/>
          <w:sz w:val="32"/>
          <w:szCs w:val="32"/>
          <w:lang w:val="en"/>
        </w:rPr>
        <w:t>镇街</w:t>
      </w:r>
      <w:r>
        <w:rPr>
          <w:rFonts w:hint="eastAsia" w:ascii="方正仿宋_GBK" w:hAnsi="宋体" w:eastAsia="方正仿宋_GBK"/>
          <w:sz w:val="32"/>
          <w:szCs w:val="32"/>
        </w:rPr>
        <w:t>水厂或者新建规模化供水工程，扩大规模化供水工程覆盖范围；人口居住极为分散地区，加强分散小型农村供水工程标准化建设。推进计量监控设备设施建设，强化水源保护和监测。对集中供水工程持续推进“企业化、专业化、规范化、法治化”管理，建立健全工程运行管护长效机制。切实巩固农村贫困人口饮水安全成果。</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3.5.3加强非常规水源利用</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开发新水源也应作为一项重要的节水措施。永川区再生水回用还有一定开发潜力，可以替代部分的生态环境用水以及生产中的部分用水，从而节省大量的自来水。节省所得的自来水可以产生更多的经济效益，有利于永川区城乡节水规划的实现，有利于永川区节水型社会的建设。现阶段应完善城西污水处理厂建设，加快推进永川污水处理厂三期中水回用工程建设，提高永川城区重要河道生态流量。</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3.5.4加强农业节水设施建设</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调整经济产业结构，大力发展高效节水型现代产业，积极培育和发展高新产业，使高新技术产业成为支柱产业，严格限制高耗水产业，发展节水型工业、服务业，把推行清洁生产与结构调整相结合，实现从治污到防污的转变；建立水资源有偿使用制度，以水价改革为突破口，建立科学的水价体系和管理制度，实施符合市场经济规律的水价办法。适当考虑供求关系，采取市场调节，实行动态水价和超计划累进加价制度。全面开征水资源费、污水处理费，使开采使用地下水成本与城市自来水价格保持合理的比价关系，有效遏制地下水的乱开滥采。</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3.5.5加强海绵城市建设工程</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按照海绵城市建设理念，坚持“生态为本、自然循环，规划引领、统筹推进，政府引导、社会参与”的基本原则，通过加强城市规划建设管理，综合采取“渗、滞、蓄、净、用、排”等措施，充分发挥建筑、道路和绿地、水系等生态系统对雨水的吸纳、蓄渗和缓释作用，有效控制雨水径流，实现自然积存、自然渗透、自然净化的城市发展方式。实现整个中心城区的年径流总量控制率≥70%，年径流污染去除率≥50%。</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全面推广节水器具。积极组织开展节水器具和节水产品的推广和普及工作。政府机关、商场宾馆等公共建筑要全面使用节水型器具。新建、改建、扩建的公共和民用建筑，禁止使用国家明令淘汰的用水器具。引导居民尽快淘汰现有住宅中不符合节水标准的生活用水器具。</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加强供水和公共用水管理。加强用水定额制定工作，逐步扩大计划用水和定额管理的实施范围，依法完善计划用水管理，逐步实现用水总量控制、用水计划分解、超定额计划加价。加强公共用水管理，城镇公共供水管网覆盖的区域要逐步关停自备井，停止采用地下水。严禁盲目扩大用于景观、娱乐的水域面积，合理限制洗浴、 洗车等高用水服务业用水，对非人体接触用水强制实行循环利用。落实政府机构节约用水的责任制和有效监督制度。</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3.5.6加强工业节水改造</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重点抓好化工、纺织、造纸、机械、食品等高用水行业的节水工作。在合理调整布局，加快产业结构调整、严格市场准入及限制高消耗、高排放、低效率、产能过剩行业盲目发展的同时，通过用水计划管理，加强总量控制、定额管理、系统节水改造及非常规水源利用等措施，降低工业企业单位产品取水量。新建工业企业要按照高标准节水要求建设，严格水资源论证。现有的企业要结合技术改造对系统用水进行改造，淘汰落后的用水技术和设施。要严格按照国家有关标准配备符合要求的用水计量器具，加强水计量数据的应用与管理，减少排放，提高水资源利用效率。</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纺织行业。推广喷水织机节水技术、棉纤维素新制浆工艺节水技术，及逆流漂洗、印染废水深度处理回用、缫丝废水循环利用、一浴法工艺、冷轧堆一步法工艺、生物酶处理技术、超柔软新型涂料印花等技术。</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造纸行业。完善原料洗涤水循环使用系统，推广应用制浆封闭筛选、无氯漂泊、中浓操作工艺、纸机白水回用、生化处理后污水回用等技术，以及超效浅层气浮白水回收、多圆盘白水回收等技术和工艺。</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机械加工行业。重点是系统节水改造，回收工艺冷凝水、蒸汽凝结水，减少循环冷却补充水。推广串级用水或处理净化回用技术。推广应用采油污水处理的高效水质净化与稳定、反渗透水处理等污水深度处理回用技术。开发循环冷却水高浓缩技术等。开发和推广高氨氮及高COD等废水处理及含油（泥）、高盐废水处理回用和酸洗液回收利用技术。</w:t>
      </w:r>
    </w:p>
    <w:p>
      <w:pPr>
        <w:keepNext w:val="0"/>
        <w:keepLines w:val="0"/>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食品行业。推广高效循环冷却水处理技术、敞开式循环冷却水系统、原麦汁一般冷却节水技术，二次蒸汽回收利用技术，推广浓缩倍数大于4.0的水处理运行技术等，并根据不同产品和不同生产工艺，开发干法、半湿法和湿法制备淀粉取水闭环流程工艺。</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3.5.7加强能力建设</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至2025年全面实现取水用计量、取用水监测。结合在线监测等，加强节水执法监督能力。</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3.5.8加强节水载体建设</w:t>
      </w:r>
    </w:p>
    <w:p>
      <w:pPr>
        <w:keepNext w:val="0"/>
        <w:keepLines w:val="0"/>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节水载体建设内容包括节水型企业、节水型公共机构、节水型高校（学校）、节水型小区。加快推进老旧企业、公共机构等节水改造工程实施，新建企业、公共机构（办公楼）等要求其必须按照节水要求进行建设。至2025年，规模以上重点用水行业节水型企业覆盖率达</w:t>
      </w:r>
      <w:r>
        <w:rPr>
          <w:rFonts w:hint="eastAsia" w:ascii="方正仿宋_GBK" w:hAnsi="宋体" w:eastAsia="方正仿宋_GBK"/>
          <w:sz w:val="32"/>
          <w:szCs w:val="32"/>
          <w:lang w:val="en-US" w:eastAsia="zh-CN"/>
        </w:rPr>
        <w:t>100</w:t>
      </w:r>
      <w:r>
        <w:rPr>
          <w:rFonts w:hint="eastAsia" w:ascii="方正仿宋_GBK" w:hAnsi="宋体" w:eastAsia="方正仿宋_GBK"/>
          <w:sz w:val="32"/>
          <w:szCs w:val="32"/>
        </w:rPr>
        <w:t>%，节水型公共机构建成率达100%，节水型小区建成率达40%。</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3.5.9建设自觉节水的社会行为规范体系</w:t>
      </w:r>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0"/>
        <w:rPr>
          <w:rFonts w:hint="eastAsia" w:ascii="方正黑体_GBK" w:hAnsi="方正黑体_GBK" w:eastAsia="方正黑体_GBK" w:cs="方正黑体_GBK"/>
          <w:b w:val="0"/>
          <w:bCs w:val="0"/>
          <w:kern w:val="2"/>
          <w:sz w:val="32"/>
          <w:szCs w:val="32"/>
          <w:lang w:val="en-US" w:eastAsia="zh-CN" w:bidi="ar-SA"/>
        </w:rPr>
      </w:pPr>
      <w:r>
        <w:rPr>
          <w:rFonts w:hint="eastAsia" w:ascii="方正仿宋_GBK" w:hAnsi="宋体" w:eastAsia="方正仿宋_GBK"/>
          <w:sz w:val="32"/>
          <w:szCs w:val="32"/>
        </w:rPr>
        <w:t>提高节水意识，节约用水，改变过去人们认为水资源是取之不尽、用之不竭的思想误区。节约用水需要社会大众的广泛参与和支持，必须唤起全民节约用水、珍惜水资源的意识，把节水变成全社会每个成员的实际行动。以各种形式进行宣传，依托新闻媒体，适时报道节约用水、节水型社会建设的先进经验和典型事例，曝光浪费现象和违规行为；通过生动有效宣传的方式，促使节约用水的理念走进单位、走进学校、走进社区、走进家庭，树立全民节水意识；通过培育和发展用水者组织，参与各项节水工作的管理和监督，以及水价的制定和实施，充分调动广大用水户参与水资源管理的积极性，促进节水的社会化。建立与节水型社会相符合的节水文化，初步形成“政府主导、企业（个人）自律、社会共进”的节水机制和良好氛围。</w:t>
      </w:r>
      <w:bookmarkStart w:id="69" w:name="_Toc28153"/>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0"/>
        <w:rPr>
          <w:rFonts w:hint="eastAsia" w:ascii="方正黑体_GBK" w:hAnsi="方正黑体_GBK" w:eastAsia="方正黑体_GBK" w:cs="方正黑体_GBK"/>
          <w:b w:val="0"/>
          <w:bCs w:val="0"/>
          <w:kern w:val="2"/>
          <w:sz w:val="32"/>
          <w:szCs w:val="32"/>
          <w:lang w:val="en-US" w:eastAsia="zh-CN" w:bidi="ar-SA"/>
        </w:rPr>
      </w:pPr>
      <w:bookmarkStart w:id="70" w:name="_Toc1565876974"/>
      <w:bookmarkStart w:id="71" w:name="_Toc892372475"/>
      <w:bookmarkStart w:id="72" w:name="_Toc2078668580"/>
      <w:r>
        <w:rPr>
          <w:rFonts w:hint="eastAsia" w:ascii="方正黑体_GBK" w:hAnsi="方正黑体_GBK" w:eastAsia="方正黑体_GBK" w:cs="方正黑体_GBK"/>
          <w:b w:val="0"/>
          <w:bCs w:val="0"/>
          <w:kern w:val="2"/>
          <w:sz w:val="32"/>
          <w:szCs w:val="32"/>
          <w:lang w:val="en-US" w:eastAsia="zh-CN" w:bidi="ar-SA"/>
        </w:rPr>
        <w:t>4重点区域与重点领域</w:t>
      </w:r>
      <w:bookmarkEnd w:id="69"/>
      <w:bookmarkEnd w:id="70"/>
      <w:bookmarkEnd w:id="71"/>
      <w:bookmarkEnd w:id="72"/>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73" w:name="_Toc2134683153"/>
      <w:bookmarkStart w:id="74" w:name="_Toc1632091802"/>
      <w:bookmarkStart w:id="75" w:name="_Toc109385389"/>
      <w:bookmarkStart w:id="76" w:name="_Toc4023"/>
      <w:r>
        <w:rPr>
          <w:rFonts w:hint="eastAsia" w:ascii="方正楷体_GBK" w:hAnsi="Times New Roman" w:eastAsia="方正楷体_GBK" w:cs="Times New Roman"/>
          <w:b w:val="0"/>
          <w:bCs w:val="0"/>
          <w:sz w:val="32"/>
          <w:szCs w:val="32"/>
          <w:lang w:val="en-US" w:eastAsia="zh-CN"/>
        </w:rPr>
        <w:t>4.1重点区域</w:t>
      </w:r>
      <w:bookmarkEnd w:id="73"/>
      <w:bookmarkEnd w:id="74"/>
      <w:bookmarkEnd w:id="75"/>
      <w:bookmarkEnd w:id="76"/>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永川城区属于永川重要经济发展中心，是永川的重点区域。</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根据永川区水资源三、四级区划水资源区划成果，结合永川区当地的社会经济特征，永川区划分为6个五级水资源分区，分别为：小安溪片区、临江河片区、九龙河片区、大陆溪片区、龙溪河片区以及长江干流北岸片区。永川城区集中于临江河片区。临江河</w:t>
      </w:r>
      <w:r>
        <w:rPr>
          <w:rFonts w:ascii="方正仿宋_GBK" w:hAnsi="宋体" w:eastAsia="方正仿宋_GBK"/>
          <w:sz w:val="32"/>
          <w:szCs w:val="32"/>
        </w:rPr>
        <w:t>流域面积556.48km</w:t>
      </w:r>
      <w:r>
        <w:rPr>
          <w:rFonts w:ascii="方正仿宋_GBK" w:hAnsi="宋体" w:eastAsia="方正仿宋_GBK"/>
          <w:sz w:val="32"/>
          <w:szCs w:val="32"/>
          <w:vertAlign w:val="superscript"/>
        </w:rPr>
        <w:t>2</w:t>
      </w:r>
      <w:r>
        <w:rPr>
          <w:rFonts w:ascii="方正仿宋_GBK" w:hAnsi="宋体" w:eastAsia="方正仿宋_GBK"/>
          <w:sz w:val="32"/>
          <w:szCs w:val="32"/>
        </w:rPr>
        <w:t>，占全区幅员面积的35.31%，是永川重要经济发展区。</w:t>
      </w:r>
      <w:r>
        <w:rPr>
          <w:rFonts w:hint="eastAsia" w:ascii="方正仿宋_GBK" w:hAnsi="宋体" w:eastAsia="方正仿宋_GBK"/>
          <w:sz w:val="32"/>
          <w:szCs w:val="32"/>
        </w:rPr>
        <w:t>规划中心城区范围为北至箕山，南至卫星湖，东至大安、陈食街道，西至西三环。规划2025年中心城区城市人口100万人，城市建设用地100km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4.1.1空间发展战略</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以拉开大城市框架和培育区域发展走廊为前提，以自然山水和生态绿地为本底，规划重点考虑城市在不同时期的有序建设，形成“T字形”带状城市空间结构，远景构建“蝶形”城市空间结构。</w:t>
      </w:r>
    </w:p>
    <w:p>
      <w:pPr>
        <w:pageBreakBefore w:val="0"/>
        <w:widowControl w:val="0"/>
        <w:kinsoku/>
        <w:wordWrap/>
        <w:overflowPunct/>
        <w:topLinePunct w:val="0"/>
        <w:autoSpaceDE/>
        <w:autoSpaceDN/>
        <w:bidi w:val="0"/>
        <w:adjustRightInd/>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城市空间结构为“两轴六组团”。两轴包括横轴和纵轴，横轴指西三环-老城区-新城区-大安发展轴；纵轴指神女湖-兴龙湖-凤凰湖发展轴。</w:t>
      </w:r>
    </w:p>
    <w:p>
      <w:pPr>
        <w:spacing w:before="156" w:beforeLines="50"/>
        <w:jc w:val="center"/>
        <w:rPr>
          <w:rFonts w:ascii="宋体" w:hAnsi="宋体"/>
          <w:sz w:val="24"/>
          <w:szCs w:val="24"/>
        </w:rPr>
      </w:pPr>
      <w:r>
        <w:rPr>
          <w:rFonts w:ascii="宋体" w:hAnsi="宋体"/>
          <w:sz w:val="24"/>
          <w:szCs w:val="24"/>
        </w:rPr>
        <w:drawing>
          <wp:inline distT="0" distB="0" distL="114300" distR="114300">
            <wp:extent cx="5762625" cy="5248275"/>
            <wp:effectExtent l="0" t="0" r="9525" b="9525"/>
            <wp:docPr id="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true"/>
                    </pic:cNvPicPr>
                  </pic:nvPicPr>
                  <pic:blipFill>
                    <a:blip r:embed="rId13"/>
                    <a:srcRect b="17442"/>
                    <a:stretch>
                      <a:fillRect/>
                    </a:stretch>
                  </pic:blipFill>
                  <pic:spPr>
                    <a:xfrm>
                      <a:off x="0" y="0"/>
                      <a:ext cx="5762625" cy="5248275"/>
                    </a:xfrm>
                    <a:prstGeom prst="rect">
                      <a:avLst/>
                    </a:prstGeom>
                    <a:noFill/>
                    <a:ln>
                      <a:noFill/>
                    </a:ln>
                  </pic:spPr>
                </pic:pic>
              </a:graphicData>
            </a:graphic>
          </wp:inline>
        </w:drawing>
      </w:r>
    </w:p>
    <w:p>
      <w:pPr>
        <w:pStyle w:val="7"/>
        <w:widowControl w:val="0"/>
        <w:snapToGrid w:val="0"/>
        <w:spacing w:before="0" w:beforeLines="0" w:after="0" w:line="276" w:lineRule="auto"/>
        <w:jc w:val="center"/>
        <w:rPr>
          <w:rFonts w:ascii="方正仿宋_GBK" w:hAnsi="宋体" w:eastAsia="方正仿宋_GBK" w:cs="Times New Roman"/>
          <w:b w:val="0"/>
          <w:bCs w:val="0"/>
          <w:color w:val="auto"/>
          <w:kern w:val="2"/>
          <w:sz w:val="30"/>
          <w:szCs w:val="30"/>
          <w:lang w:eastAsia="zh-CN"/>
        </w:rPr>
      </w:pPr>
      <w:r>
        <w:rPr>
          <w:rFonts w:hint="eastAsia" w:ascii="方正仿宋_GBK" w:hAnsi="宋体" w:eastAsia="方正仿宋_GBK" w:cs="Times New Roman"/>
          <w:b w:val="0"/>
          <w:bCs w:val="0"/>
          <w:color w:val="auto"/>
          <w:kern w:val="2"/>
          <w:sz w:val="30"/>
          <w:szCs w:val="30"/>
          <w:lang w:eastAsia="zh-CN"/>
        </w:rPr>
        <w:t>图4.1-1 永川区中心城区空间结构规划图</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lang w:val="en-US" w:eastAsia="zh-CN"/>
        </w:rPr>
        <w:t>4.1.1.1</w:t>
      </w:r>
      <w:r>
        <w:rPr>
          <w:rFonts w:hint="eastAsia" w:ascii="方正仿宋_GBK" w:hAnsi="宋体" w:eastAsia="方正仿宋_GBK"/>
          <w:sz w:val="32"/>
          <w:szCs w:val="32"/>
        </w:rPr>
        <w:t>两轴</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为城市空间的主要拓展走廊。</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横轴：串联永川老城区和新城区，并向东西两侧延伸发展。向西延伸至西三环，做大做强商贸物流，辐射渝西、川南等地区的城市；向东跨越观音岩山体延伸至大安，结合成渝高速出入口，预留科技创新产业发展空间，承载重庆主城城市功能的拓展与延伸。</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纵轴：串联神女湖、兴龙湖和凤凰湖三个地区的景观与功能，北部神女湖周边重点发展文化旅游功能，中部兴龙湖周边重点发展服务外包产业，并结合高铁站发展现代商务功能，南部凤凰湖周边重点发展工业园区及相应服务配套功能。</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lang w:val="en-US" w:eastAsia="zh-CN"/>
        </w:rPr>
        <w:t>4.1.1.2</w:t>
      </w:r>
      <w:r>
        <w:rPr>
          <w:rFonts w:hint="eastAsia" w:ascii="方正仿宋_GBK" w:hAnsi="宋体" w:eastAsia="方正仿宋_GBK"/>
          <w:sz w:val="32"/>
          <w:szCs w:val="32"/>
        </w:rPr>
        <w:t>六组团</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包括老城组团、新城组团、北部文化旅游组团、西部商贸物流组团、凤凰湖产业组团、大安-和畅园组团。</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老城组团：重点发展商业、居住、休闲娱乐、社会服务等功能。要有序推进旧城改造，逐步疏解人口与功能，提升城市建设环境品质。建设用地规模约7.1km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新城组团：是城市的中心组团，要提升空间品质，集聚服务产业。重点发展商务办公、行政服务、消费娱乐、文化交往、创新创意、休闲疗养、职业教育等功能。建设用地规模约15.5km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北部文化旅游组团：重点发展教育、旅游、文化等功能。要整合现有职业教育资源，提升生态、旅游、文化资源特色，打造城市北部综合型度假休闲和文化教育高地。建设用地规模约6.3km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西部商贸物流组团：重点发展商贸、物流、居住等功能。要依托重庆西三环高速、合永綦铁路和成渝铁路新线等区域交通优势，集聚商贸功能，带动组团开发建设。建设用地规模约12.8km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凤凰湖产业组团：重点发展现代制造业和电子信息产业，和创新研发、生产服务、居住、商务服务等功能，并预留向东的拓展空间。建设用地规模约33.3km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大安-和畅园组团：依托大安街道和和畅园城乡统筹示范区布置；远景预留作为城市的重点拓展地区，以对接重庆主城的功能为主。建设用地规模约3.3km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陈食和卫星湖分别依托现状街道布局。陈食建设用地面积约0.6km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，卫星湖建设用地面积约1.1km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4.1.2用地布局</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4.1.2.1</w:t>
      </w:r>
      <w:r>
        <w:rPr>
          <w:rFonts w:hint="eastAsia" w:ascii="方正仿宋_GBK" w:hAnsi="宋体" w:eastAsia="方正仿宋_GBK"/>
          <w:sz w:val="32"/>
          <w:szCs w:val="32"/>
        </w:rPr>
        <w:t>居住用地</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居住用地的总体布局贯彻产城融合的理念采取大分散、小集中的方式，与各功能区的产业布局相适应；在用地选择上以公交导向为原则，与交通走廊和公共设施布局结合，采取带状分布、点状集聚的方式，并在下阶段规划布局中进行细化；在布局类型上突出地方特色，根据社区特点，提出控制指引，促进各片区发展。</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4.1.2.2</w:t>
      </w:r>
      <w:r>
        <w:rPr>
          <w:rFonts w:hint="eastAsia" w:ascii="方正仿宋_GBK" w:hAnsi="宋体" w:eastAsia="方正仿宋_GBK"/>
          <w:sz w:val="32"/>
          <w:szCs w:val="32"/>
        </w:rPr>
        <w:t>公共设施用地</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4.1.2.2.1</w:t>
      </w:r>
      <w:r>
        <w:rPr>
          <w:rFonts w:hint="eastAsia" w:ascii="方正仿宋_GBK" w:hAnsi="宋体" w:eastAsia="方正仿宋_GBK"/>
          <w:sz w:val="32"/>
          <w:szCs w:val="32"/>
        </w:rPr>
        <w:t>公共服务中心</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规划形成“城市主中心—城市副中心/专业中心—社区中心”的三级中心体系。其中：</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城市主中心：即新城中心，是永川的行政、商务、生活中心。</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城市副中心/专业中心：共4处，包括老城区商业中心、城西商贸物流中心、凤凰湖产业服务中心、北部文化旅游服务中心。</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社区中心：结合居住社区按500-800m半径设置若干个社区中心。</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4.1.2.2.2</w:t>
      </w:r>
      <w:r>
        <w:rPr>
          <w:rFonts w:hint="eastAsia" w:ascii="方正仿宋_GBK" w:hAnsi="宋体" w:eastAsia="方正仿宋_GBK"/>
          <w:sz w:val="32"/>
          <w:szCs w:val="32"/>
        </w:rPr>
        <w:t>行政办公设施</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主要布局在人民广场以北、人民西路以东地区，结合政府办公大楼和各机关部门办公楼形成新区行政中心。行政办公设施用地65.80hm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，占城市建设用地的0.82%，人均用地为0.82m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4.1.2.2.3</w:t>
      </w:r>
      <w:r>
        <w:rPr>
          <w:rFonts w:hint="eastAsia" w:ascii="方正仿宋_GBK" w:hAnsi="宋体" w:eastAsia="方正仿宋_GBK"/>
          <w:sz w:val="32"/>
          <w:szCs w:val="32"/>
        </w:rPr>
        <w:t>文化设施</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规划区级文化中心4处，分别位于新城组团、西部商贸物流组团、凤凰湖产业组团和北部文化旅游组团。在保留现有重点文化设施的基础上，新建标志性文化娱乐设施4处，包括科技馆、展览馆、会展中心和图书馆。规划文化设施用地65.84h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，占城市建设用地的0.82%，人均用地为0.82m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4.1.2.2.4</w:t>
      </w:r>
      <w:r>
        <w:rPr>
          <w:rFonts w:hint="eastAsia" w:ascii="方正仿宋_GBK" w:hAnsi="宋体" w:eastAsia="方正仿宋_GBK"/>
          <w:sz w:val="32"/>
          <w:szCs w:val="32"/>
        </w:rPr>
        <w:t>教育科研设施</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未来将打造一个立足永川、辐射西部、服务全国的中国西部职业教育城。高等院校主要布局在北部文化旅游组团，在现有高等院校集聚的基础上继续增加教育科技研发设施用地，建设高等院校和职业教育学院。规划教育科研用地736.8永川区未来将打造一个立足永川、辐射西部、服务全国的中国西部职业教育城。高等院校主要布局在北部文化旅游组团，在现有高等院校集聚的基础上继续增加教育科技研发设施用地，建设高等院校和职业教育学院。规划教育科研用地736.84h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，占城市建设总用地的9.21%，人均用地为9.21m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4.1.2.2.5</w:t>
      </w:r>
      <w:r>
        <w:rPr>
          <w:rFonts w:hint="eastAsia" w:ascii="方正仿宋_GBK" w:hAnsi="宋体" w:eastAsia="方正仿宋_GBK"/>
          <w:sz w:val="32"/>
          <w:szCs w:val="32"/>
        </w:rPr>
        <w:t>体育设施</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市级体育中心：保留新城组团的体育中心。</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组团级体育设施：共4处，包括保留老城组团的体育中心，并在西部商贸物流组团、凤凰湖产业组团、大安组团各新建1处组团级体育设施。</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社区级体育设施：按照国家规范要求配套建设相应的体育设施，及结合园林绿化用地建设全民健身场地。</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规划体育用地35.40hm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，占城市建设总用地的0.44%，人均用地为2.5m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。市级体育中心：保留新城组团的体育中心。</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4.1.2.2.6</w:t>
      </w:r>
      <w:r>
        <w:rPr>
          <w:rFonts w:hint="eastAsia" w:ascii="方正仿宋_GBK" w:hAnsi="宋体" w:eastAsia="方正仿宋_GBK"/>
          <w:sz w:val="32"/>
          <w:szCs w:val="32"/>
        </w:rPr>
        <w:t>医疗卫生设施</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规划大型综合医院、中医医院及专科医院、社区卫生服务设施的三级医疗卫生设施体系。规划医疗卫生用地82.32hm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，占城市建设总用地的1.03%，人均用地为1.03m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4.1.2.2.7</w:t>
      </w:r>
      <w:r>
        <w:rPr>
          <w:rFonts w:hint="eastAsia" w:ascii="方正仿宋_GBK" w:hAnsi="宋体" w:eastAsia="方正仿宋_GBK"/>
          <w:sz w:val="32"/>
          <w:szCs w:val="32"/>
        </w:rPr>
        <w:t>社会福利设施</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规划在马垠片区建立综合就业与培训中心，神女湖东面新建残疾人康复中心，城西商贸物流组团新建青少年活动中心和妇女活动中心各一处；按老年人口规模和有关标准安排老年服务设施，在来龙湖南面新建老年服务中心1处，健全老年服务设施和服务机构。规划社会福利用地规划在马垠片区建立综合就业与培训中心，神女湖东面新建残疾人康复中心，城西商贸物流组团新建青少年活动中心和妇女活动中心各一处；按老年人口规模和有关标准安排老年服务设施，在来龙湖南面新建老年服务中心1处，健全老年服务设施和服务机构。规划社会福利用地30.99h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，占城市建设总用地的0.39%，人均用地为0.39m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4.1.2.2.8</w:t>
      </w:r>
      <w:r>
        <w:rPr>
          <w:rFonts w:hint="eastAsia" w:ascii="方正仿宋_GBK" w:hAnsi="宋体" w:eastAsia="方正仿宋_GBK"/>
          <w:sz w:val="32"/>
          <w:szCs w:val="32"/>
        </w:rPr>
        <w:t>宗教设施</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参考特殊用地相关标准，规划保留现有教堂，结合历史文化氛围对其进行适当保护与修缮，体现永川城市文化和形象。规划宗教用地0.92hm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，占城市建设总用地的0.01%，人均用地为0.01m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4.1.2.3</w:t>
      </w:r>
      <w:r>
        <w:rPr>
          <w:rFonts w:hint="eastAsia" w:ascii="方正仿宋_GBK" w:hAnsi="宋体" w:eastAsia="方正仿宋_GBK"/>
          <w:sz w:val="32"/>
          <w:szCs w:val="32"/>
        </w:rPr>
        <w:t>商业服务业设施用地</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规划商业服务业设施用地728.99hm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，占城市建设总用地的9.11%，人均用地为9.1m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4.1.2.3.1</w:t>
      </w:r>
      <w:r>
        <w:rPr>
          <w:rFonts w:hint="eastAsia" w:ascii="方正仿宋_GBK" w:hAnsi="宋体" w:eastAsia="方正仿宋_GBK"/>
          <w:sz w:val="32"/>
          <w:szCs w:val="32"/>
        </w:rPr>
        <w:t>商务金融用地布局</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规划金融设施主要布局于新城组团和凤凰湖产业组团，在新城组团结合高铁站、兴龙湖建设，发展服务外包、金融商务等。</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4.1.2.3.2</w:t>
      </w:r>
      <w:r>
        <w:rPr>
          <w:rFonts w:hint="eastAsia" w:ascii="方正仿宋_GBK" w:hAnsi="宋体" w:eastAsia="方正仿宋_GBK"/>
          <w:sz w:val="32"/>
          <w:szCs w:val="32"/>
        </w:rPr>
        <w:t>商业用地布局</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规划商业服务设施按三级配套。</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商业中心（商圈）：包括现有的老城组团的渝西商圈和人民广场-兴龙湖商圈。规划商业服务设施按三级配套。</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商业中心（商圈）：包括现有的老城组团的渝西商圈和人民广场-兴龙湖商圈。</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片区级商业中心：规划建设2个片区级商业中心。服务老城的城西商贸物流组团商业中心和连接新城组团与凤凰湖工业园区的凤凰湖商业组团商业中心。</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社区级商业中心：结合居住用地规划，依照居住区规范要求，在社区中心配置社区级商业设施。</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其他农贸市场及小商品市场以便于居民生活、便于交通组织、便于交易管理为原则，按服务半径800～1000m布置。</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4.1.2.4</w:t>
      </w:r>
      <w:r>
        <w:rPr>
          <w:rFonts w:hint="eastAsia" w:ascii="方正仿宋_GBK" w:hAnsi="宋体" w:eastAsia="方正仿宋_GBK"/>
          <w:sz w:val="32"/>
          <w:szCs w:val="32"/>
        </w:rPr>
        <w:t>工业用地</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规划永川中心城工业用地总面积1444.45hm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，占总用地的18.06%。规划搬迁老城现有工业，改变工业用地的零散布局，明确主要的产业类型，将现有的工业用地集中布局在凤凰湖工业园，部分布局在大安工业园区。</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4.1.2.5</w:t>
      </w:r>
      <w:r>
        <w:rPr>
          <w:rFonts w:hint="eastAsia" w:ascii="方正仿宋_GBK" w:hAnsi="宋体" w:eastAsia="方正仿宋_GBK"/>
          <w:sz w:val="32"/>
          <w:szCs w:val="32"/>
        </w:rPr>
        <w:t>仓储用地</w:t>
      </w:r>
    </w:p>
    <w:p>
      <w:pPr>
        <w:pageBreakBefore w:val="0"/>
        <w:widowControl w:val="0"/>
        <w:kinsoku/>
        <w:wordWrap/>
        <w:overflowPunct/>
        <w:topLinePunct w:val="0"/>
        <w:autoSpaceDE/>
        <w:autoSpaceDN/>
        <w:bidi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仓储物流用地总面积216.34hm</w:t>
      </w:r>
      <w:r>
        <w:rPr>
          <w:rFonts w:hint="eastAsia" w:ascii="方正仿宋_GBK" w:hAnsi="宋体" w:eastAsia="方正仿宋_GBK"/>
          <w:sz w:val="32"/>
          <w:szCs w:val="32"/>
          <w:vertAlign w:val="superscript"/>
        </w:rPr>
        <w:t>2</w:t>
      </w:r>
      <w:r>
        <w:rPr>
          <w:rFonts w:hint="eastAsia" w:ascii="方正仿宋_GBK" w:hAnsi="宋体" w:eastAsia="方正仿宋_GBK"/>
          <w:sz w:val="32"/>
          <w:szCs w:val="32"/>
        </w:rPr>
        <w:t>，占总用地的2.70%。规划形成三大物流片区，分别是城西商贸物流园区、城南商贸物流园区和城东商贸物流园区，其中城东商贸物流园区为远景预留。</w:t>
      </w:r>
    </w:p>
    <w:p>
      <w:pPr>
        <w:pageBreakBefore w:val="0"/>
        <w:widowControl w:val="0"/>
        <w:kinsoku/>
        <w:wordWrap/>
        <w:overflowPunct/>
        <w:topLinePunct w:val="0"/>
        <w:autoSpaceDE/>
        <w:autoSpaceDN/>
        <w:bidi w:val="0"/>
        <w:adjustRightInd/>
        <w:snapToGrid w:val="0"/>
        <w:spacing w:before="0" w:after="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77" w:name="_Toc1565113532"/>
      <w:bookmarkStart w:id="78" w:name="_Toc1374585009"/>
      <w:bookmarkStart w:id="79" w:name="_Toc29306"/>
      <w:bookmarkStart w:id="80" w:name="_Toc844692596"/>
      <w:r>
        <w:rPr>
          <w:rFonts w:hint="eastAsia" w:ascii="方正楷体_GBK" w:hAnsi="Times New Roman" w:eastAsia="方正楷体_GBK" w:cs="Times New Roman"/>
          <w:b w:val="0"/>
          <w:bCs w:val="0"/>
          <w:sz w:val="32"/>
          <w:szCs w:val="32"/>
          <w:lang w:val="en-US" w:eastAsia="zh-CN"/>
        </w:rPr>
        <w:t>4.2重点领域</w:t>
      </w:r>
      <w:bookmarkEnd w:id="77"/>
      <w:bookmarkEnd w:id="78"/>
      <w:bookmarkEnd w:id="79"/>
      <w:bookmarkEnd w:id="80"/>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4.2.1农业节水</w:t>
      </w:r>
    </w:p>
    <w:p>
      <w:pPr>
        <w:pageBreakBefore w:val="0"/>
        <w:widowControl w:val="0"/>
        <w:kinsoku/>
        <w:wordWrap/>
        <w:overflowPunct/>
        <w:topLinePunct w:val="0"/>
        <w:autoSpaceDE/>
        <w:autoSpaceDN/>
        <w:bidi w:val="0"/>
        <w:adjustRightInd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加强农业高效节水，促进农业现代化优化配置农业用水。按照“先节水、后用水，先挖潜、后扩大，先改建、后新建”的原则，进一步优化供用水结构，完善灌溉供水工程体系，提高灌溉供水保障能力。充分利用天然降水，合理配置地表水和地下水，重视利用非常规水源。在渠灌区因地制宜实行蓄水、引水、提水相结合。在井渠结合灌区实行地表水和地下水联合调度。在井灌区严格控制地下水开采。在不具备常规灌溉条件的地区，利用当地水窖、水池、塘坝等多种手段集蓄雨水，发展非常规 旱作节水灌溉。</w:t>
      </w:r>
    </w:p>
    <w:p>
      <w:pPr>
        <w:pageBreakBefore w:val="0"/>
        <w:widowControl w:val="0"/>
        <w:kinsoku/>
        <w:wordWrap/>
        <w:overflowPunct/>
        <w:topLinePunct w:val="0"/>
        <w:autoSpaceDE/>
        <w:autoSpaceDN/>
        <w:bidi w:val="0"/>
        <w:adjustRightInd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加快节水灌溉工程建设和技术推广。除有回灌补源和防护林生态保护要求的渠段以外，要对渠道进行防渗处理。在地面灌的灌区，平整土地，合理调整沟畦规格，推广抗旱坐水种和移动式软管灌溉等地面灌水技术，提高田间灌溉水利用率。在井灌区和有条件的渠灌区，大力推广高效节水灌溉。在水资源短缺、经济作物种植和农 业规模化经营等地区，积极推广喷灌、微灌等高效节水灌溉。在南方水资源丰富尤其是水网地区，大力推广水稻控制灌溉技术，在节水的同时，减轻农业面源污染。</w:t>
      </w:r>
    </w:p>
    <w:p>
      <w:pPr>
        <w:pageBreakBefore w:val="0"/>
        <w:widowControl w:val="0"/>
        <w:kinsoku/>
        <w:wordWrap/>
        <w:overflowPunct/>
        <w:topLinePunct w:val="0"/>
        <w:autoSpaceDE/>
        <w:autoSpaceDN/>
        <w:bidi w:val="0"/>
        <w:adjustRightInd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积极推广农业和生物技术节水措施。合理安排耕作和栽培制度，选育和推广优质耐旱高产品种，提高天然降水利用率。大力推广深松整地、中耕除草、镇压耙耱、覆盖保墒、增施有机肥以及合理施用生物抗旱剂、土壤保水剂等技术，提高土壤吸纳和保持水分的能力。在经济作物、蔬菜、果木种植方面，配套和完善节水补灌设备，推广水肥一体化技术，促进现代节水型农业体系的建立。在干旱和易发生水土流失地区，加快推广保护性耕作技术。</w:t>
      </w:r>
    </w:p>
    <w:p>
      <w:pPr>
        <w:pageBreakBefore w:val="0"/>
        <w:widowControl w:val="0"/>
        <w:kinsoku/>
        <w:wordWrap/>
        <w:overflowPunct/>
        <w:topLinePunct w:val="0"/>
        <w:autoSpaceDE/>
        <w:autoSpaceDN/>
        <w:bidi w:val="0"/>
        <w:adjustRightInd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实施养殖业节水。推进养殖污水无害化处理和适度再生利用，提高畜禽饮水、畜禽养殖场舍冲洗、粪便污水资源化等用水效率，发展节水渔业，推进工厂化循环水养殖和池塘生态循环水养殖。</w:t>
      </w:r>
    </w:p>
    <w:p>
      <w:pPr>
        <w:pageBreakBefore w:val="0"/>
        <w:widowControl w:val="0"/>
        <w:kinsoku/>
        <w:wordWrap/>
        <w:overflowPunct/>
        <w:topLinePunct w:val="0"/>
        <w:autoSpaceDE/>
        <w:autoSpaceDN/>
        <w:bidi w:val="0"/>
        <w:adjustRightInd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积极推进农村节水工作。结合新型城镇化和新农村建设，以县级行政区域为单元，实施农村污水处理统一规划、统一建设、统一管理。推动农村节水行动，实施集中供水和污水处理工程，保障农村饮用水安全。安装计量设施，推广使用节水器具。开展宣传活动，树立节水标兵，有条件的地区鼓励开展农村再生水利用，提高水资源重复利用率。</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4.2.2工业节水</w:t>
      </w:r>
    </w:p>
    <w:p>
      <w:pPr>
        <w:pageBreakBefore w:val="0"/>
        <w:widowControl w:val="0"/>
        <w:kinsoku/>
        <w:wordWrap/>
        <w:overflowPunct/>
        <w:topLinePunct w:val="0"/>
        <w:autoSpaceDE/>
        <w:autoSpaceDN/>
        <w:bidi w:val="0"/>
        <w:adjustRightInd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加强工业节水，促进转型升级优化高耗水行业空间布局。推动高耗水企业向工业园区集中，推广串联式循环用水布局。促进可利用再生水的企业与城市污水处理厂、再生水厂就近布局。推进高耗水工业结构调整。按照推进供给侧结构性改革、化解过剩产能的总体部署，依法依规淘汰高耗水行业中用水超出定额标 准的产能，促进产业转型升级。严格实行用水定额管理，合理分配工业企业及项目的用水定额，并根据水资源变化和节水效果定期调整，倒逼企业提高节水能力。引导钢铁、化工、电力、煤炭、 造纸、纺织、食品等高耗水行业的既有产能向高效节水方向调整。</w:t>
      </w:r>
    </w:p>
    <w:p>
      <w:pPr>
        <w:pageBreakBefore w:val="0"/>
        <w:widowControl w:val="0"/>
        <w:kinsoku/>
        <w:wordWrap/>
        <w:overflowPunct/>
        <w:topLinePunct w:val="0"/>
        <w:autoSpaceDE/>
        <w:autoSpaceDN/>
        <w:bidi w:val="0"/>
        <w:adjustRightInd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加大高耗水行业节水改造力度。实施重点用水企业水效领跑者 引领行动，推进水效对标达标。实行强制性节水用水措施与标准，完善国家鼓励类和淘汰类工业用水工艺、技术和设备目录，加快对钢铁等高耗水企业实施节水工艺改造。鼓励企业依靠科技进步，积极研发先进适用节水技术。大力推广高效用水工艺、高效冷却工艺、高效洗涤工艺、高效循环用水、污（废）水再生利用、高盐水资源 化利用等节水工艺和技术。</w:t>
      </w:r>
    </w:p>
    <w:p>
      <w:pPr>
        <w:pageBreakBefore w:val="0"/>
        <w:widowControl w:val="0"/>
        <w:kinsoku/>
        <w:wordWrap/>
        <w:overflowPunct/>
        <w:topLinePunct w:val="0"/>
        <w:autoSpaceDE/>
        <w:autoSpaceDN/>
        <w:bidi w:val="0"/>
        <w:adjustRightInd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建设节水型园区。新建园区在规划布局时要统筹供排水、水处理及水梯级循环利用设施建设，实现公共设施共建共享，鼓励企业 间的串联用水，分质用水、一水多用和循环利用。已有园区应将节水作为产业结构优化和循环改造的重点内容，推动企业间水资源利 用，强化节水及水循环利用设施建设。建立园区节水、废水处理及资源化专业技术支撑体系。</w:t>
      </w:r>
    </w:p>
    <w:p>
      <w:pPr>
        <w:pageBreakBefore w:val="0"/>
        <w:widowControl w:val="0"/>
        <w:kinsoku/>
        <w:wordWrap/>
        <w:overflowPunct/>
        <w:topLinePunct w:val="0"/>
        <w:autoSpaceDE/>
        <w:autoSpaceDN/>
        <w:bidi w:val="0"/>
        <w:adjustRightInd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建设节水型企业。严格实行用水定额管理，根据各地区用水总 量红线，科学合理分配企业及项目的用水定额，并根据水资源变化和节水效果定期调整，对日用水量大于 500m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的企业逐步开展水循 环与梯级利用效率评估，确定改造任务。引导高耗水行业建立用水超定额产能淘汰制度，制定淘汰方案，分年度淘汰落后产能。对重点工业用水户开展用水审计，将审计结果作为取水许可审批的重要参考。加大节水型企业建设力度，通过整体设计、过程控制和深化管理挖掘节水潜力。</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4.2.3生活节水</w:t>
      </w:r>
    </w:p>
    <w:p>
      <w:pPr>
        <w:pageBreakBefore w:val="0"/>
        <w:widowControl w:val="0"/>
        <w:kinsoku/>
        <w:wordWrap/>
        <w:overflowPunct/>
        <w:topLinePunct w:val="0"/>
        <w:autoSpaceDE/>
        <w:autoSpaceDN/>
        <w:bidi w:val="0"/>
        <w:adjustRightInd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加强城镇节水，提高城镇生活用水效率推进城镇供水管网改造。加快对使用年限超过 50 年、材质落后和受损失修的供水管网进行更新改造，减少供水管网“跑冒滴漏” 和“爆管”等情况的发生，到 2025年永川区公共供水管网漏损率控制在10%以内。完善供水管网检漏制度，通过供水管网独立分区计量（DMA）和水平衡测试等方式，加强漏损控制管理，在漏损严重或缺水城市开展供水管网 DMA 管理示范工程。</w:t>
      </w:r>
    </w:p>
    <w:p>
      <w:pPr>
        <w:pageBreakBefore w:val="0"/>
        <w:widowControl w:val="0"/>
        <w:kinsoku/>
        <w:wordWrap/>
        <w:overflowPunct/>
        <w:topLinePunct w:val="0"/>
        <w:autoSpaceDE/>
        <w:autoSpaceDN/>
        <w:bidi w:val="0"/>
        <w:adjustRightInd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推广节水器具使用。加大力度研发和推广应用节水型设备和器 具，禁止生产、销售不符合节水标准的产品、设备。推进节水产品企业质量分类监管，以生活节水器具和农业节水设备为监管重点，逐步扩大监督范围，推进节水产品推广普及。公共建筑和新建民用 建筑必须采用节水器具，限期淘汰公共建筑中不符合节水标准的水嘴、便器水箱等生活用水器具。鼓励居民家庭选用节水器具，引导居民淘汰现有不符合节水标准的生活用水器具。</w:t>
      </w:r>
    </w:p>
    <w:p>
      <w:pPr>
        <w:pageBreakBefore w:val="0"/>
        <w:widowControl w:val="0"/>
        <w:kinsoku/>
        <w:wordWrap/>
        <w:overflowPunct/>
        <w:topLinePunct w:val="0"/>
        <w:autoSpaceDE/>
        <w:autoSpaceDN/>
        <w:bidi w:val="0"/>
        <w:adjustRightInd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加强服务业节水。合理限制高耗水服务业用水，对洗浴、洗车、高尔夫球场等行业实行特种用水价格。强制要求使用节水产品，加快节水技术改造，对非人体接触用水强制实行循环利用。缺水地区严禁盲目扩大用水景观、娱乐的水域面积。</w:t>
      </w:r>
    </w:p>
    <w:p>
      <w:pPr>
        <w:pageBreakBefore w:val="0"/>
        <w:widowControl w:val="0"/>
        <w:kinsoku/>
        <w:wordWrap/>
        <w:overflowPunct/>
        <w:topLinePunct w:val="0"/>
        <w:autoSpaceDE/>
        <w:autoSpaceDN/>
        <w:bidi w:val="0"/>
        <w:adjustRightInd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推广建筑中水应用。开展绿色建筑行动，面积超过一定规模的 新建住房和新建公共建筑应当安装中水设施，老旧住房也应当逐步 实施中水利用改造。鼓励引导居民小区中水利用，城市居住小区建 筑中水主要用于冲厕、小区绿化等生活杂用；公共建筑中水主要用 于冲厕。缺水地区的城镇应积极采用建筑中水回用技术。</w:t>
      </w:r>
    </w:p>
    <w:p>
      <w:pPr>
        <w:pageBreakBefore w:val="0"/>
        <w:widowControl w:val="0"/>
        <w:kinsoku/>
        <w:wordWrap/>
        <w:overflowPunct/>
        <w:topLinePunct w:val="0"/>
        <w:autoSpaceDE/>
        <w:autoSpaceDN/>
        <w:bidi w:val="0"/>
        <w:adjustRightInd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大力推进节水型社会建设。制定节水型社会建设实施方案，加大规划调控指导力度，落实各部门目标、责任和任务期限。健全城市节水法规制度体系、推进实施节水统计等城市节水工作制度和措施，建立城市节水的数字化管理平台和社会参与机制。积极开展节水型单位和居民小区创建活动。</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4.2.4非常规水源利用</w:t>
      </w:r>
    </w:p>
    <w:p>
      <w:pPr>
        <w:pageBreakBefore w:val="0"/>
        <w:widowControl w:val="0"/>
        <w:kinsoku/>
        <w:wordWrap/>
        <w:overflowPunct/>
        <w:topLinePunct w:val="0"/>
        <w:autoSpaceDE/>
        <w:autoSpaceDN/>
        <w:bidi w:val="0"/>
        <w:adjustRightInd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加大雨、中水等非常规水源开发利用力度，实施再生水、雨水资源利用工程，把非常规水源纳入区域水资源统一配置。到2025年，全区非常规水利用量超过1460万m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，占总供水量的比重由 2020年的 0.3%提高到2025年的4%。</w:t>
      </w:r>
    </w:p>
    <w:p>
      <w:pPr>
        <w:pageBreakBefore w:val="0"/>
        <w:widowControl w:val="0"/>
        <w:kinsoku/>
        <w:wordWrap/>
        <w:overflowPunct/>
        <w:topLinePunct w:val="0"/>
        <w:autoSpaceDE/>
        <w:autoSpaceDN/>
        <w:bidi w:val="0"/>
        <w:adjustRightInd w:val="0"/>
        <w:snapToGrid w:val="0"/>
        <w:spacing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促进再生水利用。以缺水及水污染严重地区城市为重点，加大污水处理力度，完善再生水利用设施，逐步提高再生水利用率。工业生产、农业灌溉、城市绿化、道路清扫、车辆冲洗、建筑施工及 生态景观等领域优先使用再生水。具备使用再生水条件但未充分利 用的钢铁、火电、化工、造纸、印染等高耗水项目，不得批准其新增取水许可。</w:t>
      </w:r>
    </w:p>
    <w:p>
      <w:pPr>
        <w:pageBreakBefore w:val="0"/>
        <w:widowControl w:val="0"/>
        <w:kinsoku/>
        <w:wordWrap/>
        <w:overflowPunct/>
        <w:topLinePunct w:val="0"/>
        <w:autoSpaceDE/>
        <w:autoSpaceDN/>
        <w:bidi w:val="0"/>
        <w:adjustRightInd/>
        <w:snapToGrid w:val="0"/>
        <w:spacing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4.2.5水资源保护</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在重庆市级水功能区划的基础上，补充和调整水功能区划方案，加强水质监测，制定不同水平年区域内不同水域水资源保护目标，通过水资源保护规划提出不同水功能区各规划水平年相应的污染物控制总量，运用各种治理工程与监督管理措施，逐步实现水环境系统的良性循环，以保证水资源的永续利用，促进永川经济社会可持续发展。</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至2025年，污染源排放达标率为100%；集中式饮用水源地水质达标率为100%，重要江河胡泊水功能区水质达标率为100%；加强城镇废污水处理，城市生活污水集中处理率达到98%，</w:t>
      </w:r>
      <w:r>
        <w:rPr>
          <w:rFonts w:hint="default" w:ascii="方正仿宋_GBK" w:hAnsi="宋体" w:eastAsia="方正仿宋_GBK"/>
          <w:sz w:val="32"/>
          <w:szCs w:val="32"/>
          <w:lang w:val="en"/>
        </w:rPr>
        <w:t>镇街</w:t>
      </w:r>
      <w:r>
        <w:rPr>
          <w:rFonts w:hint="eastAsia" w:ascii="方正仿宋_GBK" w:hAnsi="宋体" w:eastAsia="方正仿宋_GBK"/>
          <w:sz w:val="32"/>
          <w:szCs w:val="32"/>
        </w:rPr>
        <w:t>生活污集中处理率达到85%以上，农村生活污水治理率达到52.16%。通过水资源的节约，结合《重庆市永川区主要江河流域水量分配方案》等，逐步退还被挤占的生态环境用水，保障基本生态环境用水，促进生态环境良性循环。</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0"/>
        <w:rPr>
          <w:rFonts w:hint="eastAsia" w:ascii="方正黑体_GBK" w:hAnsi="方正黑体_GBK" w:eastAsia="方正黑体_GBK" w:cs="方正黑体_GBK"/>
          <w:b w:val="0"/>
          <w:bCs w:val="0"/>
          <w:kern w:val="2"/>
          <w:sz w:val="32"/>
          <w:szCs w:val="32"/>
          <w:lang w:val="en-US" w:eastAsia="zh-CN" w:bidi="ar-SA"/>
        </w:rPr>
      </w:pPr>
      <w:bookmarkStart w:id="81" w:name="_Toc1110048956"/>
      <w:bookmarkStart w:id="82" w:name="_Toc1947860266"/>
      <w:bookmarkStart w:id="83" w:name="_Toc7787"/>
      <w:bookmarkStart w:id="84" w:name="_Toc1941389231"/>
      <w:r>
        <w:rPr>
          <w:rFonts w:hint="eastAsia" w:ascii="方正黑体_GBK" w:hAnsi="方正黑体_GBK" w:eastAsia="方正黑体_GBK" w:cs="方正黑体_GBK"/>
          <w:b w:val="0"/>
          <w:bCs w:val="0"/>
          <w:kern w:val="2"/>
          <w:sz w:val="32"/>
          <w:szCs w:val="32"/>
          <w:lang w:val="en-US" w:eastAsia="zh-CN" w:bidi="ar-SA"/>
        </w:rPr>
        <w:t>5节水型社会制度建设</w:t>
      </w:r>
      <w:bookmarkEnd w:id="81"/>
      <w:bookmarkEnd w:id="82"/>
      <w:bookmarkEnd w:id="83"/>
      <w:bookmarkEnd w:id="84"/>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85" w:name="_Toc22878"/>
      <w:bookmarkStart w:id="86" w:name="_Toc851640953"/>
      <w:bookmarkStart w:id="87" w:name="_Toc214236074"/>
      <w:bookmarkStart w:id="88" w:name="_Toc551111649"/>
      <w:r>
        <w:rPr>
          <w:rFonts w:hint="eastAsia" w:ascii="方正楷体_GBK" w:hAnsi="Times New Roman" w:eastAsia="方正楷体_GBK" w:cs="Times New Roman"/>
          <w:b w:val="0"/>
          <w:bCs w:val="0"/>
          <w:sz w:val="32"/>
          <w:szCs w:val="32"/>
          <w:lang w:val="en-US" w:eastAsia="zh-CN"/>
        </w:rPr>
        <w:t>5.1节水管理组织体系建设</w:t>
      </w:r>
      <w:bookmarkEnd w:id="85"/>
      <w:bookmarkEnd w:id="86"/>
      <w:bookmarkEnd w:id="87"/>
      <w:bookmarkEnd w:id="88"/>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hint="eastAsia" w:ascii="方正仿宋_GBK" w:eastAsia="方正仿宋_GBK" w:cs="Times New Roman"/>
          <w:kern w:val="2"/>
          <w:sz w:val="32"/>
          <w:szCs w:val="32"/>
        </w:rPr>
      </w:pPr>
      <w:r>
        <w:rPr>
          <w:rFonts w:hint="eastAsia" w:ascii="方正仿宋_GBK" w:eastAsia="方正仿宋_GBK" w:cs="Times New Roman"/>
          <w:kern w:val="2"/>
          <w:sz w:val="32"/>
          <w:szCs w:val="32"/>
        </w:rPr>
        <w:t>永川区城市节约用水管理机构为“重庆市永川区供水节水排水管理办公室”，隶属于永川区水利局，负责永川区计划用水和节约用水管理工作。随着未来节水工作的开展，涉及的工作内容将更加繁杂，需要有一直强有力的节水管理和执法队伍，目前在编人员不足，应增加相应人员，加强节水执法队伍建设，从组织机构和人员上确保其完成主要职能。</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5.1.1城区节水工作重点</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rPr>
        <w:t>加强区内用水的管理</w:t>
      </w:r>
      <w:r>
        <w:rPr>
          <w:rFonts w:hint="eastAsia" w:ascii="方正仿宋_GBK" w:eastAsia="方正仿宋_GBK" w:cs="Times New Roman"/>
          <w:kern w:val="2"/>
          <w:sz w:val="32"/>
          <w:szCs w:val="32"/>
          <w:lang w:eastAsia="zh-CN"/>
        </w:rPr>
        <w:t>；</w:t>
      </w:r>
      <w:r>
        <w:rPr>
          <w:rFonts w:hint="eastAsia" w:ascii="方正仿宋_GBK" w:eastAsia="方正仿宋_GBK" w:cs="Times New Roman"/>
          <w:kern w:val="2"/>
          <w:sz w:val="32"/>
          <w:szCs w:val="32"/>
        </w:rPr>
        <w:t>加强区内老旧小区的改造，创建节水型小区</w:t>
      </w:r>
      <w:r>
        <w:rPr>
          <w:rFonts w:hint="eastAsia" w:ascii="方正仿宋_GBK" w:eastAsia="方正仿宋_GBK" w:cs="Times New Roman"/>
          <w:kern w:val="2"/>
          <w:sz w:val="32"/>
          <w:szCs w:val="32"/>
          <w:lang w:eastAsia="zh-CN"/>
        </w:rPr>
        <w:t>；</w:t>
      </w:r>
      <w:r>
        <w:rPr>
          <w:rFonts w:hint="eastAsia" w:ascii="方正仿宋_GBK" w:eastAsia="方正仿宋_GBK" w:cs="Times New Roman"/>
          <w:kern w:val="2"/>
          <w:sz w:val="32"/>
          <w:szCs w:val="32"/>
        </w:rPr>
        <w:t>开展区内企业水平衡测试工作</w:t>
      </w:r>
      <w:r>
        <w:rPr>
          <w:rFonts w:hint="eastAsia" w:ascii="方正仿宋_GBK" w:eastAsia="方正仿宋_GBK" w:cs="Times New Roman"/>
          <w:kern w:val="2"/>
          <w:sz w:val="32"/>
          <w:szCs w:val="32"/>
          <w:lang w:eastAsia="zh-CN"/>
        </w:rPr>
        <w:t>；</w:t>
      </w:r>
      <w:r>
        <w:rPr>
          <w:rFonts w:hint="eastAsia" w:ascii="方正仿宋_GBK" w:eastAsia="方正仿宋_GBK" w:cs="Times New Roman"/>
          <w:kern w:val="2"/>
          <w:sz w:val="32"/>
          <w:szCs w:val="32"/>
        </w:rPr>
        <w:t>推广节水器具，完成部分非节水器具的改造</w:t>
      </w:r>
      <w:r>
        <w:rPr>
          <w:rFonts w:hint="eastAsia" w:ascii="方正仿宋_GBK" w:eastAsia="方正仿宋_GBK" w:cs="Times New Roman"/>
          <w:kern w:val="2"/>
          <w:sz w:val="32"/>
          <w:szCs w:val="32"/>
          <w:lang w:eastAsia="zh-CN"/>
        </w:rPr>
        <w:t>；</w:t>
      </w:r>
      <w:r>
        <w:rPr>
          <w:rFonts w:hint="eastAsia" w:ascii="方正仿宋_GBK" w:eastAsia="方正仿宋_GBK" w:cs="Times New Roman"/>
          <w:kern w:val="2"/>
          <w:sz w:val="32"/>
          <w:szCs w:val="32"/>
        </w:rPr>
        <w:t>推广再生水水资源的推广利用工作。</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5.1.2节水管理机构建设</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lang w:val="en-US" w:eastAsia="zh-CN"/>
        </w:rPr>
        <w:t>5.1.2.1</w:t>
      </w:r>
      <w:r>
        <w:rPr>
          <w:rFonts w:ascii="方正仿宋_GBK" w:eastAsia="方正仿宋_GBK" w:cs="Times New Roman"/>
          <w:kern w:val="2"/>
          <w:sz w:val="32"/>
          <w:szCs w:val="32"/>
        </w:rPr>
        <w:t>健全节水管理组织机构，统一管理，提高工作效率</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ascii="方正仿宋_GBK" w:eastAsia="方正仿宋_GBK" w:cs="Times New Roman"/>
          <w:kern w:val="2"/>
          <w:sz w:val="32"/>
          <w:szCs w:val="32"/>
        </w:rPr>
      </w:pPr>
      <w:r>
        <w:rPr>
          <w:rFonts w:ascii="方正仿宋_GBK" w:eastAsia="方正仿宋_GBK" w:cs="Times New Roman"/>
          <w:kern w:val="2"/>
          <w:sz w:val="32"/>
          <w:szCs w:val="32"/>
        </w:rPr>
        <w:t>理顺节水管理组织机构，形成自上而下的管理机构体系。以节水</w:t>
      </w:r>
      <w:r>
        <w:rPr>
          <w:rFonts w:hint="eastAsia" w:ascii="方正仿宋_GBK" w:eastAsia="方正仿宋_GBK" w:cs="Times New Roman"/>
          <w:kern w:val="2"/>
          <w:sz w:val="32"/>
          <w:szCs w:val="32"/>
        </w:rPr>
        <w:t>办</w:t>
      </w:r>
      <w:r>
        <w:rPr>
          <w:rFonts w:ascii="方正仿宋_GBK" w:eastAsia="方正仿宋_GBK" w:cs="Times New Roman"/>
          <w:kern w:val="2"/>
          <w:sz w:val="32"/>
          <w:szCs w:val="32"/>
        </w:rPr>
        <w:t>为核心，建立</w:t>
      </w:r>
      <w:r>
        <w:rPr>
          <w:rFonts w:hint="eastAsia" w:ascii="方正仿宋_GBK" w:eastAsia="方正仿宋_GBK" w:cs="Times New Roman"/>
          <w:kern w:val="2"/>
          <w:sz w:val="32"/>
          <w:szCs w:val="32"/>
        </w:rPr>
        <w:t>区</w:t>
      </w:r>
      <w:r>
        <w:rPr>
          <w:rFonts w:ascii="方正仿宋_GBK" w:eastAsia="方正仿宋_GBK" w:cs="Times New Roman"/>
          <w:kern w:val="2"/>
          <w:sz w:val="32"/>
          <w:szCs w:val="32"/>
        </w:rPr>
        <w:t>节水工作管理部门、供水企业节水管理部门、</w:t>
      </w:r>
      <w:r>
        <w:rPr>
          <w:rFonts w:hint="eastAsia" w:ascii="方正仿宋_GBK" w:eastAsia="方正仿宋_GBK" w:cs="Times New Roman"/>
          <w:kern w:val="2"/>
          <w:sz w:val="32"/>
          <w:szCs w:val="32"/>
        </w:rPr>
        <w:t>“</w:t>
      </w:r>
      <w:r>
        <w:rPr>
          <w:rFonts w:ascii="方正仿宋_GBK" w:eastAsia="方正仿宋_GBK" w:cs="Times New Roman"/>
          <w:kern w:val="2"/>
          <w:sz w:val="32"/>
          <w:szCs w:val="32"/>
        </w:rPr>
        <w:t>大用户</w:t>
      </w:r>
      <w:r>
        <w:rPr>
          <w:rFonts w:hint="eastAsia" w:ascii="方正仿宋_GBK" w:eastAsia="方正仿宋_GBK" w:cs="Times New Roman"/>
          <w:kern w:val="2"/>
          <w:sz w:val="32"/>
          <w:szCs w:val="32"/>
        </w:rPr>
        <w:t>”</w:t>
      </w:r>
      <w:r>
        <w:rPr>
          <w:rFonts w:ascii="方正仿宋_GBK" w:eastAsia="方正仿宋_GBK" w:cs="Times New Roman"/>
          <w:kern w:val="2"/>
          <w:sz w:val="32"/>
          <w:szCs w:val="32"/>
        </w:rPr>
        <w:t>节水管理员三级网络，</w:t>
      </w:r>
      <w:r>
        <w:rPr>
          <w:rFonts w:hint="eastAsia" w:ascii="方正仿宋_GBK" w:eastAsia="方正仿宋_GBK" w:cs="Times New Roman"/>
          <w:kern w:val="2"/>
          <w:sz w:val="32"/>
          <w:szCs w:val="32"/>
        </w:rPr>
        <w:t>区</w:t>
      </w:r>
      <w:r>
        <w:rPr>
          <w:rFonts w:ascii="方正仿宋_GBK" w:eastAsia="方正仿宋_GBK" w:cs="Times New Roman"/>
          <w:kern w:val="2"/>
          <w:sz w:val="32"/>
          <w:szCs w:val="32"/>
        </w:rPr>
        <w:t>节水管理机构要定期召开全区节水工作会议，交流经验、部署工作，使全区的节水管理工作协调发展。</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lang w:val="en-US" w:eastAsia="zh-CN"/>
        </w:rPr>
        <w:t>5.1.2.2</w:t>
      </w:r>
      <w:r>
        <w:rPr>
          <w:rFonts w:ascii="方正仿宋_GBK" w:eastAsia="方正仿宋_GBK" w:cs="Times New Roman"/>
          <w:kern w:val="2"/>
          <w:sz w:val="32"/>
          <w:szCs w:val="32"/>
        </w:rPr>
        <w:t>明确职能分工，形成内部合理有效的管理机制</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rPr>
        <w:t>区</w:t>
      </w:r>
      <w:r>
        <w:rPr>
          <w:rFonts w:ascii="方正仿宋_GBK" w:eastAsia="方正仿宋_GBK" w:cs="Times New Roman"/>
          <w:kern w:val="2"/>
          <w:sz w:val="32"/>
          <w:szCs w:val="32"/>
        </w:rPr>
        <w:t>节水管理机构内要根据节水工作的各个侧重点划定人员职能，做到分工明确、责任清晰。各个部门之间要加强协调，及时沟通，以保护珍惜、优化配置水资源和提高城市节水水平为目标，将本</w:t>
      </w:r>
      <w:r>
        <w:rPr>
          <w:rFonts w:hint="eastAsia" w:ascii="方正仿宋_GBK" w:eastAsia="方正仿宋_GBK" w:cs="Times New Roman"/>
          <w:kern w:val="2"/>
          <w:sz w:val="32"/>
          <w:szCs w:val="32"/>
        </w:rPr>
        <w:t>区</w:t>
      </w:r>
      <w:r>
        <w:rPr>
          <w:rFonts w:ascii="方正仿宋_GBK" w:eastAsia="方正仿宋_GBK" w:cs="Times New Roman"/>
          <w:kern w:val="2"/>
          <w:sz w:val="32"/>
          <w:szCs w:val="32"/>
        </w:rPr>
        <w:t>的节水工作推上一个新的台阶。</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lang w:val="en-US" w:eastAsia="zh-CN"/>
        </w:rPr>
        <w:t>5.1.2.3</w:t>
      </w:r>
      <w:r>
        <w:rPr>
          <w:rFonts w:ascii="方正仿宋_GBK" w:eastAsia="方正仿宋_GBK" w:cs="Times New Roman"/>
          <w:kern w:val="2"/>
          <w:sz w:val="32"/>
          <w:szCs w:val="32"/>
        </w:rPr>
        <w:t>加强管理力度，持续深入广泛地开展节约用水工作，在全社会形成良好的节水氛围</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ascii="方正仿宋_GBK" w:eastAsia="方正仿宋_GBK" w:cs="Times New Roman"/>
          <w:kern w:val="2"/>
          <w:sz w:val="32"/>
          <w:szCs w:val="32"/>
        </w:rPr>
      </w:pPr>
      <w:r>
        <w:rPr>
          <w:rFonts w:ascii="方正仿宋_GBK" w:eastAsia="方正仿宋_GBK" w:cs="Times New Roman"/>
          <w:kern w:val="2"/>
          <w:sz w:val="32"/>
          <w:szCs w:val="32"/>
        </w:rPr>
        <w:t>加强对工厂企业、机关事业单位、医院、学校、服务行业以及街道、社区等社会用水节约用水的管理力度，通过行政管理帮助其建立内部合理有效的节约用水制度，通过宣传教育提高其节水意识，通过节奖超罚提高其节水热情，以全方位联动在全社会形成良好的节水氛围。</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lang w:val="en-US" w:eastAsia="zh-CN"/>
        </w:rPr>
        <w:t>5.1.2.4</w:t>
      </w:r>
      <w:r>
        <w:rPr>
          <w:rFonts w:ascii="方正仿宋_GBK" w:eastAsia="方正仿宋_GBK" w:cs="Times New Roman"/>
          <w:kern w:val="2"/>
          <w:sz w:val="32"/>
          <w:szCs w:val="32"/>
        </w:rPr>
        <w:t>重视人才培养，建立一支素质良好、能力较强的管理队伍</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ascii="方正仿宋_GBK" w:eastAsia="方正仿宋_GBK" w:cs="Times New Roman"/>
          <w:kern w:val="2"/>
          <w:sz w:val="32"/>
          <w:szCs w:val="32"/>
        </w:rPr>
      </w:pPr>
      <w:r>
        <w:rPr>
          <w:rFonts w:ascii="方正仿宋_GBK" w:eastAsia="方正仿宋_GBK" w:cs="Times New Roman"/>
          <w:kern w:val="2"/>
          <w:sz w:val="32"/>
          <w:szCs w:val="32"/>
        </w:rPr>
        <w:t>为有效提高节约用水管理水平，要重视人才选拔、培训，建立起一支拥有较高业务水平、较强职业道德素养的专业管理队伍，不断完善节水管理体制，积极探索节水管理新方法，为城市节约用水工作提供良好的人员保证，确保节水管理工作高效率、高质量地不断深入，使城市节水工作这项社会系统工程得以有序、有效地开展。</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89" w:name="_Toc122096923"/>
      <w:bookmarkStart w:id="90" w:name="_Toc31200"/>
      <w:bookmarkStart w:id="91" w:name="_Toc570694848"/>
      <w:bookmarkStart w:id="92" w:name="_Toc747854087"/>
      <w:r>
        <w:rPr>
          <w:rFonts w:hint="eastAsia" w:ascii="方正楷体_GBK" w:hAnsi="Times New Roman" w:eastAsia="方正楷体_GBK" w:cs="Times New Roman"/>
          <w:b w:val="0"/>
          <w:bCs w:val="0"/>
          <w:sz w:val="32"/>
          <w:szCs w:val="32"/>
          <w:lang w:val="en-US" w:eastAsia="zh-CN"/>
        </w:rPr>
        <w:t>5.2节约用水标准体系建设</w:t>
      </w:r>
      <w:bookmarkEnd w:id="89"/>
      <w:bookmarkEnd w:id="90"/>
      <w:bookmarkEnd w:id="91"/>
      <w:bookmarkEnd w:id="92"/>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rPr>
        <w:t>计划定额用水管理具有很强的行政和技术管理职能，是体现用水科学管理的必要手段。首先，要扩大计划定额用水管理范围，提高永川区城市的计划定额用水管理率。</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rPr>
        <w:t>2020年，用水规模在400m</w:t>
      </w:r>
      <w:r>
        <w:rPr>
          <w:rFonts w:hint="eastAsia" w:ascii="方正仿宋_GBK" w:eastAsia="方正仿宋_GBK" w:cs="Times New Roman"/>
          <w:kern w:val="2"/>
          <w:sz w:val="32"/>
          <w:szCs w:val="32"/>
          <w:vertAlign w:val="superscript"/>
        </w:rPr>
        <w:t>3</w:t>
      </w:r>
      <w:r>
        <w:rPr>
          <w:rFonts w:hint="eastAsia" w:ascii="方正仿宋_GBK" w:eastAsia="方正仿宋_GBK" w:cs="Times New Roman"/>
          <w:kern w:val="2"/>
          <w:sz w:val="32"/>
          <w:szCs w:val="32"/>
        </w:rPr>
        <w:t>/月以上的用户计划定额用水管理率为98%左右。在今后工作中，要把用水规模在400m</w:t>
      </w:r>
      <w:r>
        <w:rPr>
          <w:rFonts w:hint="eastAsia" w:ascii="方正仿宋_GBK" w:eastAsia="方正仿宋_GBK" w:cs="Times New Roman"/>
          <w:kern w:val="2"/>
          <w:sz w:val="32"/>
          <w:szCs w:val="32"/>
          <w:vertAlign w:val="superscript"/>
        </w:rPr>
        <w:t>3</w:t>
      </w:r>
      <w:r>
        <w:rPr>
          <w:rFonts w:hint="eastAsia" w:ascii="方正仿宋_GBK" w:eastAsia="方正仿宋_GBK" w:cs="Times New Roman"/>
          <w:kern w:val="2"/>
          <w:sz w:val="32"/>
          <w:szCs w:val="32"/>
        </w:rPr>
        <w:t>/月以下的用户逐步添入到计划定额用水管理范围内，到2025年使400m</w:t>
      </w:r>
      <w:r>
        <w:rPr>
          <w:rFonts w:hint="eastAsia" w:ascii="方正仿宋_GBK" w:eastAsia="方正仿宋_GBK" w:cs="Times New Roman"/>
          <w:kern w:val="2"/>
          <w:sz w:val="32"/>
          <w:szCs w:val="32"/>
          <w:vertAlign w:val="superscript"/>
        </w:rPr>
        <w:t>3</w:t>
      </w:r>
      <w:r>
        <w:rPr>
          <w:rFonts w:hint="eastAsia" w:ascii="方正仿宋_GBK" w:eastAsia="方正仿宋_GBK" w:cs="Times New Roman"/>
          <w:kern w:val="2"/>
          <w:sz w:val="32"/>
          <w:szCs w:val="32"/>
        </w:rPr>
        <w:t>/月以上计划定额用水管理率提高到100%，进一步提高全区节水量和节水管理水平。</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rPr>
        <w:t>节水管理部门应根据各单位产品用水定额标准、水的重复利用率指标完成值以及近年来的实际用水量等情况，编制用水计划，落实管理措施。实行超计划用水累进加价制度。另外，积极推进用户开展水平衡测试工作，根据各单位测试结果，修订计划用水量，对于耗水量大，落后的生产工艺和设备要制定政策，强制淘汰。</w:t>
      </w:r>
      <w:r>
        <w:rPr>
          <w:rFonts w:ascii="方正仿宋_GBK" w:eastAsia="方正仿宋_GBK" w:cs="Times New Roman"/>
          <w:kern w:val="2"/>
          <w:sz w:val="32"/>
          <w:szCs w:val="32"/>
        </w:rPr>
        <w:t>鉴于目前</w:t>
      </w:r>
      <w:r>
        <w:rPr>
          <w:rFonts w:hint="eastAsia" w:ascii="方正仿宋_GBK" w:eastAsia="方正仿宋_GBK" w:cs="Times New Roman"/>
          <w:kern w:val="2"/>
          <w:sz w:val="32"/>
          <w:szCs w:val="32"/>
        </w:rPr>
        <w:t>永川区</w:t>
      </w:r>
      <w:r>
        <w:rPr>
          <w:rFonts w:ascii="方正仿宋_GBK" w:eastAsia="方正仿宋_GBK" w:cs="Times New Roman"/>
          <w:kern w:val="2"/>
          <w:sz w:val="32"/>
          <w:szCs w:val="32"/>
        </w:rPr>
        <w:t>工业企业水平衡测试率较低，在以前应出台鼓励工业企业开展水平衡测试工作的配套政策，健全以市场化方式为主的推进水平衡测试的机制，建议节水行政管理部门委托经核准有资质的其他相关单位和高校等机构展开水平衡测试工作，以提高</w:t>
      </w:r>
      <w:r>
        <w:rPr>
          <w:rFonts w:hint="eastAsia" w:ascii="方正仿宋_GBK" w:eastAsia="方正仿宋_GBK" w:cs="Times New Roman"/>
          <w:kern w:val="2"/>
          <w:sz w:val="32"/>
          <w:szCs w:val="32"/>
        </w:rPr>
        <w:t>永川</w:t>
      </w:r>
      <w:r>
        <w:rPr>
          <w:rFonts w:ascii="方正仿宋_GBK" w:eastAsia="方正仿宋_GBK" w:cs="Times New Roman"/>
          <w:kern w:val="2"/>
          <w:sz w:val="32"/>
          <w:szCs w:val="32"/>
        </w:rPr>
        <w:t>区工业水平衡测试率</w:t>
      </w:r>
      <w:r>
        <w:rPr>
          <w:rFonts w:hint="eastAsia" w:ascii="方正仿宋_GBK" w:eastAsia="方正仿宋_GBK" w:cs="Times New Roman"/>
          <w:kern w:val="2"/>
          <w:sz w:val="32"/>
          <w:szCs w:val="32"/>
        </w:rPr>
        <w:t>。</w:t>
      </w:r>
      <w:r>
        <w:rPr>
          <w:rFonts w:ascii="方正仿宋_GBK" w:eastAsia="方正仿宋_GBK" w:cs="Times New Roman"/>
          <w:kern w:val="2"/>
          <w:sz w:val="32"/>
          <w:szCs w:val="32"/>
        </w:rPr>
        <w:t>节水主管部门应与有关部门协商制订有利于促进工业节水发展的优惠政策，以促进工业节水达到一个新的水平。</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93" w:name="_Toc1505413816"/>
      <w:bookmarkStart w:id="94" w:name="_Toc15166"/>
      <w:bookmarkStart w:id="95" w:name="_Toc263526254"/>
      <w:bookmarkStart w:id="96" w:name="_Toc327530493"/>
      <w:r>
        <w:rPr>
          <w:rFonts w:hint="eastAsia" w:ascii="方正楷体_GBK" w:hAnsi="Times New Roman" w:eastAsia="方正楷体_GBK" w:cs="Times New Roman"/>
          <w:b w:val="0"/>
          <w:bCs w:val="0"/>
          <w:sz w:val="32"/>
          <w:szCs w:val="32"/>
          <w:lang w:val="en-US" w:eastAsia="zh-CN"/>
        </w:rPr>
        <w:t>5.3节水管理制度体系建设</w:t>
      </w:r>
      <w:bookmarkEnd w:id="93"/>
      <w:bookmarkEnd w:id="94"/>
      <w:bookmarkEnd w:id="95"/>
      <w:bookmarkEnd w:id="96"/>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ascii="方正仿宋_GBK" w:eastAsia="方正仿宋_GBK" w:cs="Times New Roman"/>
          <w:kern w:val="2"/>
          <w:sz w:val="32"/>
          <w:szCs w:val="32"/>
        </w:rPr>
      </w:pPr>
      <w:r>
        <w:rPr>
          <w:rFonts w:ascii="方正仿宋_GBK" w:eastAsia="方正仿宋_GBK" w:cs="Times New Roman"/>
          <w:kern w:val="2"/>
          <w:sz w:val="32"/>
          <w:szCs w:val="32"/>
        </w:rPr>
        <w:t>建立完善合理的节约用水管理程序是加强用水管理的一项重要内容，其目的是使节约用水工作制度化和规范化，城市节约用水应符合以下程序：以用水计划管理为核心，综合用水分析为基础，以科技进步为动力，集经济、技术、行政管理为一体的节约用水管理程序。它对用户的用水考核不是简单的兑现奖罚，而是通过节水考核对用户的用水进行全面的分析，制定统一的节水规划和实施方案，并提供经济及技术上的支持，从而保证节水规划的实现，从根本上解决用户合理化用水的问题。具体程序可参见图</w:t>
      </w:r>
      <w:r>
        <w:rPr>
          <w:rFonts w:hint="eastAsia" w:ascii="方正仿宋_GBK" w:eastAsia="方正仿宋_GBK" w:cs="Times New Roman"/>
          <w:kern w:val="2"/>
          <w:sz w:val="32"/>
          <w:szCs w:val="32"/>
        </w:rPr>
        <w:t>5.1</w:t>
      </w:r>
      <w:r>
        <w:rPr>
          <w:rFonts w:ascii="方正仿宋_GBK" w:eastAsia="方正仿宋_GBK" w:cs="Times New Roman"/>
          <w:kern w:val="2"/>
          <w:sz w:val="32"/>
          <w:szCs w:val="32"/>
        </w:rPr>
        <w:t>-1。</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hint="eastAsia" w:ascii="方正仿宋_GBK" w:eastAsia="方正仿宋_GBK" w:cs="Times New Roman"/>
          <w:kern w:val="2"/>
          <w:sz w:val="32"/>
          <w:szCs w:val="32"/>
        </w:rPr>
      </w:pPr>
      <w:r>
        <w:rPr>
          <w:rFonts w:hint="eastAsia" w:ascii="方正仿宋_GBK" w:eastAsia="方正仿宋_GBK" w:cs="Times New Roman"/>
          <w:kern w:val="2"/>
          <w:sz w:val="32"/>
          <w:szCs w:val="32"/>
        </w:rPr>
        <w:t>建立资料完善、数据准确、更新及时的节水信息网是一个重要的保障措施。区水利局作为一个管理节水信息系统的专职机构，应建立用水与节水统计标准，规范统计方法，明确统计任务，</w:t>
      </w:r>
      <w:r>
        <w:rPr>
          <w:rFonts w:ascii="方正仿宋_GBK" w:eastAsia="方正仿宋_GBK" w:cs="Times New Roman"/>
          <w:kern w:val="2"/>
          <w:sz w:val="32"/>
          <w:szCs w:val="32"/>
        </w:rPr>
        <w:t>建立节水数据库，加强节水管理结构硬件和软件建设，提高节水工作的信息化、自动化管理程度，在用水户中建立用水月</w:t>
      </w:r>
      <w:r>
        <w:rPr>
          <w:rFonts w:hint="eastAsia" w:ascii="方正仿宋_GBK" w:eastAsia="方正仿宋_GBK" w:cs="Times New Roman"/>
          <w:kern w:val="2"/>
          <w:sz w:val="32"/>
          <w:szCs w:val="32"/>
        </w:rPr>
        <w:t>季</w:t>
      </w:r>
      <w:r>
        <w:rPr>
          <w:rFonts w:ascii="方正仿宋_GBK" w:eastAsia="方正仿宋_GBK" w:cs="Times New Roman"/>
          <w:kern w:val="2"/>
          <w:sz w:val="32"/>
          <w:szCs w:val="32"/>
        </w:rPr>
        <w:t>报制度，对用户的用水节水情况进行汇总、统计。在普查的基础上建立全区节水设备、冷却设备和构筑物运行情况数据库，建立全区中水回用、雨水资源利用等非常规水资源利用设施数据库等。</w:t>
      </w:r>
      <w:r>
        <w:rPr>
          <w:rFonts w:hint="eastAsia" w:ascii="方正仿宋_GBK" w:eastAsia="方正仿宋_GBK" w:cs="Times New Roman"/>
          <w:kern w:val="2"/>
          <w:sz w:val="32"/>
          <w:szCs w:val="32"/>
        </w:rPr>
        <w:t>完善用户管理台</w:t>
      </w:r>
      <w:r>
        <w:rPr>
          <w:rFonts w:hint="eastAsia" w:ascii="方正仿宋_GBK" w:eastAsia="方正仿宋_GBK" w:cs="Times New Roman"/>
          <w:kern w:val="2"/>
          <w:sz w:val="32"/>
          <w:szCs w:val="32"/>
          <w:lang w:eastAsia="zh-CN"/>
        </w:rPr>
        <w:t>账</w:t>
      </w:r>
      <w:r>
        <w:rPr>
          <w:rFonts w:hint="eastAsia" w:ascii="方正仿宋_GBK" w:eastAsia="方正仿宋_GBK" w:cs="Times New Roman"/>
          <w:kern w:val="2"/>
          <w:sz w:val="32"/>
          <w:szCs w:val="32"/>
        </w:rPr>
        <w:t>，具备“一本账”（用水台</w:t>
      </w:r>
      <w:r>
        <w:rPr>
          <w:rFonts w:hint="eastAsia" w:ascii="方正仿宋_GBK" w:eastAsia="方正仿宋_GBK" w:cs="Times New Roman"/>
          <w:kern w:val="2"/>
          <w:sz w:val="32"/>
          <w:szCs w:val="32"/>
          <w:lang w:eastAsia="zh-CN"/>
        </w:rPr>
        <w:t>账</w:t>
      </w:r>
      <w:r>
        <w:rPr>
          <w:rFonts w:hint="eastAsia" w:ascii="方正仿宋_GBK" w:eastAsia="方正仿宋_GBK" w:cs="Times New Roman"/>
          <w:kern w:val="2"/>
          <w:sz w:val="32"/>
          <w:szCs w:val="32"/>
        </w:rPr>
        <w:t>），“一张图”（管网图）、“一本书”(水平衡测试报告书)；并在此基础上，对全区各行业用水、节水指标进行分类统计，并加强节水信息的发布与交流，建立节水数据管理的权威性，每年出版节约用水统计年鉴。从宏观上对全区的节水工作进行管理和引导。</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97" w:name="_Toc1163779355"/>
      <w:bookmarkStart w:id="98" w:name="_Toc238869371"/>
      <w:bookmarkStart w:id="99" w:name="_Toc2043612895"/>
      <w:r>
        <w:rPr>
          <w:rFonts w:hint="eastAsia" w:ascii="方正楷体_GBK" w:hAnsi="Times New Roman" w:eastAsia="方正楷体_GBK" w:cs="Times New Roman"/>
          <w:b w:val="0"/>
          <w:bCs w:val="0"/>
          <w:sz w:val="32"/>
          <w:szCs w:val="32"/>
          <w:lang w:val="en-US" w:eastAsia="zh-CN"/>
        </w:rPr>
        <w:t>5.4节约用水激励机制建设</w:t>
      </w:r>
      <w:bookmarkEnd w:id="97"/>
      <w:bookmarkEnd w:id="98"/>
      <w:bookmarkEnd w:id="99"/>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目前提高水价已成大势所趋，合理水价机制形成，水价的提高必须适时、适度、适地，才能真正形成激励机制，才能使节水形成产业，形成市场。建立以节水和合理配置水资源、提高用水效率、促进水资源可持续利用为核心的水价机制。</w:t>
      </w:r>
    </w:p>
    <w:p>
      <w:pPr>
        <w:pStyle w:val="35"/>
        <w:widowControl w:val="0"/>
        <w:rPr>
          <w:rFonts w:ascii="宋体"/>
          <w:szCs w:val="24"/>
        </w:rPr>
      </w:pPr>
      <w:r>
        <w:rPr>
          <w:rFonts w:ascii="宋体"/>
          <w:szCs w:val="24"/>
        </w:rPr>
        <w:drawing>
          <wp:inline distT="0" distB="0" distL="114300" distR="114300">
            <wp:extent cx="5772150" cy="6767195"/>
            <wp:effectExtent l="0" t="0" r="0" b="14605"/>
            <wp:docPr id="9" name="图片 5" descr="南京市城市节约用水规划"/>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 descr="南京市城市节约用水规划"/>
                    <pic:cNvPicPr>
                      <a:picLocks noChangeAspect="true"/>
                    </pic:cNvPicPr>
                  </pic:nvPicPr>
                  <pic:blipFill>
                    <a:blip r:embed="rId14"/>
                    <a:srcRect l="53421" t="12872" r="7065" b="16997"/>
                    <a:stretch>
                      <a:fillRect/>
                    </a:stretch>
                  </pic:blipFill>
                  <pic:spPr>
                    <a:xfrm>
                      <a:off x="0" y="0"/>
                      <a:ext cx="5772150" cy="6767195"/>
                    </a:xfrm>
                    <a:prstGeom prst="rect">
                      <a:avLst/>
                    </a:prstGeom>
                    <a:noFill/>
                    <a:ln>
                      <a:noFill/>
                    </a:ln>
                  </pic:spPr>
                </pic:pic>
              </a:graphicData>
            </a:graphic>
          </wp:inline>
        </w:drawing>
      </w:r>
    </w:p>
    <w:p>
      <w:pPr>
        <w:pStyle w:val="35"/>
        <w:widowControl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图5.1-1  节制用水管理程序</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5.4.1水价制度的建立原则</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调整水价与理顺水价结构相结合。按照不同用户的承受能力，建立多层次供水价格体系，充分发挥价格机制对供需关系的调节作用，提高用水效率。</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水价机制与供水和污水设施建设相结合。积极建立和培育水资源开发利用市场，实现水资源合理配置；推动供水和污水收集与处理基础设施的建设。</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合理利用水资源与防治水污染相结合。提高污水收集和处理水平，努力实现污水再生利用，为经济社会发展提供良好的水环境。</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供水和污水收集与处理单位良性发展与节水设施建设相结合。合理补偿供水和污水收集与处理的单位成本费用，促进节水工程建设和节水技术推广。</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水价形成机制改革与供水和污水收集与处理单位经营管理体制改革相结合。推进企业化管理和产业化经营，强化水价对供水和污水收集与处理单位的成本约束，努力发挥市场机制在水资源配置中的基础性作用。</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5.4.2调整水价水平和确定合理的比价关系</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5.4.2.1</w:t>
      </w:r>
      <w:r>
        <w:rPr>
          <w:rFonts w:hint="eastAsia" w:ascii="方正仿宋_GBK" w:hAnsi="宋体" w:eastAsia="方正仿宋_GBK"/>
          <w:sz w:val="32"/>
          <w:szCs w:val="32"/>
        </w:rPr>
        <w:t>扩大水资源费征收范围</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根据国务院《取水许可和水资源费征收管理条例》（中华人民共和国国务院令第460号）和《重庆市取水许可和水资源费征收管理办法》，全面开征水资源费。</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5.4.2.2</w:t>
      </w:r>
      <w:r>
        <w:rPr>
          <w:rFonts w:hint="eastAsia" w:ascii="方正仿宋_GBK" w:hAnsi="宋体" w:eastAsia="方正仿宋_GBK"/>
          <w:sz w:val="32"/>
          <w:szCs w:val="32"/>
        </w:rPr>
        <w:t>逐步提高水利工程水价</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按照《水利工程供水价格管理办法》的规定，逐步提高水利工程供水价格。水利工程供水价格应根据国家经济政策和当地水资源状况，按照成本补偿、合理收益、公平负担的原则核定，以实现水利工程社会效益和经济效益的统一。水利工程供水价格由供水生产成本、费用、税金和利润构成，根据不同的供水用途，确定合理的利润率。应将非农业用水价格尽快调整到补偿成本、合理盈利的水平。合理调整农业用水价格，逐步达到保本水平。同时，大力整顿水价秩序，完善水费计收机制，取消不合理加价和收费。</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5.4.2.3</w:t>
      </w:r>
      <w:r>
        <w:rPr>
          <w:rFonts w:hint="eastAsia" w:ascii="方正仿宋_GBK" w:hAnsi="宋体" w:eastAsia="方正仿宋_GBK"/>
          <w:sz w:val="32"/>
          <w:szCs w:val="32"/>
        </w:rPr>
        <w:t>合理调整城市供水价格体系</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充分发挥价格杠杆的调节作用，逐步实行阶梯水价，达到水费支出占居民家庭总支出的合理比例，促进节约用水，促进企业转换经营机制，在制水环节引入竞争机制，建立合理的水价体系。</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采取小步快跑的方式，逐步提高城镇各类供水价格水平，同时调整各类水价的比价关系。根据永川区经济发展水平、产业结构、用水量、用水保证率和承受能力情况，合理确定居民生活用水、行政事业用水、工业用水、一般商业用水和洗浴用水比价关系。</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通过水价调整，使居民生活水费支出达到居民可支配收入的合理比例，以提高居民的节水意识。</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5.4.2.4</w:t>
      </w:r>
      <w:r>
        <w:rPr>
          <w:rFonts w:hint="eastAsia" w:ascii="方正仿宋_GBK" w:hAnsi="宋体" w:eastAsia="方正仿宋_GBK"/>
          <w:sz w:val="32"/>
          <w:szCs w:val="32"/>
        </w:rPr>
        <w:t>调整污水处理费征收标准</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根据污水处理厂运营成本和合理的投资回报，以及污水管网建设费用，按照保本微利、逐步到位的原则，核定城市污水处理费。为促进对污水收集和处理的投资，建议制定优惠的污水处理费的价格政策。</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全部开征污水处理费。要严格按标准征收，征收率不得低于80%，确保污水处理设施正常运行。</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提高排污费标准，加强对排污费的征收和管理</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根据《水污染防治法》和国务院369号令《排污费征收使用管理条例》，提高向水体排污的排污费标准，用经济手段限制单位和个人的排污量，同时加强对排污的监督、管理和计量，加强对排污费的征收和管理。</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制定再生水价格，促进污水处理回用和分质供水</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为鼓励污水处理回用，提高回用水的竞争力，制定优惠的回用水价格政策，保障分质供水的实施。为保证污水处理系统的良性运行，回用水的亏损部分可由政府补贴。</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5.4.3实行阶梯式水价，推行超计划、超定额加价收费</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阶梯式计量水价分为三级，级差分别为1∶1.5∶2。居民生活用水量每月在定额以下的，执行原居民生活水价标准；月用水量在超过定额部分1倍以上2倍以下的执行二级水价，按基础水价的1.5倍收取水费；月用水量在超过定额两倍以上部分执行三级水价，按基础水价的2倍收取水费。用水量基数和阶梯比例随永川区供水状况进行适当调整。在确保基本生活用水的同时，促进节约用水。</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严格用水定额管理，实施超计划、超定额加价收费方式。非居民生活用水实行与阶梯水价类似的超计划用水加价办法，对超出计划部分按规定收取加价水费。同时，适当拉大高耗水行业与其他行业用水的差价。按用水类别、用水季节和超计划用水幅度，制定超计划用水加价水费标准，分别定为现行公共供水水价或者地下水资源费的数倍至数十倍。</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5.4.4制定科学的水价管理制度，提高水价管理能力</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建立健全定价管理制度、水费计收制度、水价监督制度。规范定价程序，加强成本管理，实行水价执行监督检查，通过成本与价格调查制度、价格听证制度、价格审批制度、计价制度、水费计收制度和水价监督制度等一系列制度，加强水价科学管理。对服务成本进行独立审计。贯彻落实《行政许可法》和《价格法》的规定，切实保证政府价格主管部门水价格管理行政行为的合法性、科学性和公开性，规范经营者的价格行为。</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完善农业水费计收办法。将农业供水价格管理纳入政府价格管理的范围，推行农户终端水价制度。制定农业灌溉用水基础价格，对农作物灌溉用水实行定额制，超出定额部分按高于基础价的价格收取，切实加大农业灌溉设施改造力度，对末级渠系改造进行试点。改革农业供水管理体制和水费计收方式，转变农村集中供水管理模式，由福利水逐步向商品水过渡。降低管理成本，创造条件逐步对农村生活用水实行计量收费，推行超定额用水加价等制度，促进节约用水，减轻农民水费负担。</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加大水资源费征管力度。采取有效措施提高水资源费的征缴率，切实加大对自备水源用户水资源费的征收力度。自备水源用户水资源费按其许可和实际取水量的高值计收。全额征收地下水资源费。</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00" w:name="_Toc4169342"/>
      <w:bookmarkStart w:id="101" w:name="_Toc626940580"/>
      <w:bookmarkStart w:id="102" w:name="_Toc1284902520"/>
      <w:bookmarkStart w:id="103" w:name="_Toc13659"/>
      <w:r>
        <w:rPr>
          <w:rFonts w:hint="eastAsia" w:ascii="方正楷体_GBK" w:hAnsi="Times New Roman" w:eastAsia="方正楷体_GBK" w:cs="Times New Roman"/>
          <w:b w:val="0"/>
          <w:bCs w:val="0"/>
          <w:sz w:val="32"/>
          <w:szCs w:val="32"/>
          <w:lang w:val="en-US" w:eastAsia="zh-CN"/>
        </w:rPr>
        <w:t>5.5节水宣传教育培训体系建设</w:t>
      </w:r>
      <w:bookmarkEnd w:id="100"/>
      <w:bookmarkEnd w:id="101"/>
      <w:bookmarkEnd w:id="102"/>
      <w:bookmarkEnd w:id="103"/>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通过“世界水日”“中国水周”等宣传活动，充分利用广播、电视、报刊、互联网等媒体，深入宣传节水的重要意义，不断提高公众的水资源忧患意识和节约意识，动员全社会力量参与节水型社会建设。强化舆论监督，公开曝光浪费水、污染水的不良行为。加强节水科技培训，普及节水意识，提高全名素质。</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大力开展群众性节水活动，倡导节水生活方式，提高公众节约水、珍惜水和保护水的意识和自我约束意识。加强学校节水教育，将水资源节约的知识纳入学校教育内容，同时加强日常节水教育，使学生从小树立节水意识和养成节水的行为习惯。树立节约用水的光荣风尚。</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56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rPr>
        <w:t>永川区近期在节水宣传教育上要从以下几个方面加强：</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56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lang w:eastAsia="zh-CN"/>
        </w:rPr>
        <w:t>一是</w:t>
      </w:r>
      <w:r>
        <w:rPr>
          <w:rFonts w:hint="eastAsia" w:ascii="方正仿宋_GBK" w:eastAsia="方正仿宋_GBK" w:cs="Times New Roman"/>
          <w:kern w:val="2"/>
          <w:sz w:val="32"/>
          <w:szCs w:val="32"/>
        </w:rPr>
        <w:t>要强化对政府</w:t>
      </w:r>
      <w:r>
        <w:rPr>
          <w:rFonts w:hint="eastAsia" w:ascii="方正仿宋_GBK" w:eastAsia="方正仿宋_GBK" w:cs="Times New Roman"/>
          <w:kern w:val="2"/>
          <w:sz w:val="32"/>
          <w:szCs w:val="32"/>
          <w:lang w:eastAsia="zh-CN"/>
        </w:rPr>
        <w:t>领导</w:t>
      </w:r>
      <w:r>
        <w:rPr>
          <w:rFonts w:hint="eastAsia" w:ascii="方正仿宋_GBK" w:eastAsia="方正仿宋_GBK" w:cs="Times New Roman"/>
          <w:kern w:val="2"/>
          <w:sz w:val="32"/>
          <w:szCs w:val="32"/>
        </w:rPr>
        <w:t>的法律、政策和理论认识上的宣传，使其树立正确的节约用水的管理观念，在决策中充分重视节约用水。</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56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lang w:eastAsia="zh-CN"/>
        </w:rPr>
        <w:t>二是</w:t>
      </w:r>
      <w:r>
        <w:rPr>
          <w:rFonts w:hint="eastAsia" w:ascii="方正仿宋_GBK" w:eastAsia="方正仿宋_GBK" w:cs="Times New Roman"/>
          <w:kern w:val="2"/>
          <w:sz w:val="32"/>
          <w:szCs w:val="32"/>
        </w:rPr>
        <w:t>在各单位中建立节水联系责任人，以各单位法人及节水联系责任人为重点，通过开展各种层次节水培训班等形式，提高其节水意识。</w:t>
      </w:r>
      <w:r>
        <w:rPr>
          <w:rFonts w:ascii="方正仿宋_GBK" w:eastAsia="方正仿宋_GBK" w:cs="Times New Roman"/>
          <w:kern w:val="2"/>
          <w:sz w:val="32"/>
          <w:szCs w:val="32"/>
        </w:rPr>
        <w:t>建议与高校等机构联合，设立专门的节水宣传培训机构，分部实施，在用水单位中普及节水培训工作，通过培训提高各单位部门领导素质和相关节水管理人员技能，使企业尽快拥有自己的懂得政策法规、学会科学管理、掌握节水先进技术的节水骨干技术人员</w:t>
      </w:r>
      <w:r>
        <w:rPr>
          <w:rFonts w:hint="eastAsia" w:ascii="方正仿宋_GBK" w:eastAsia="方正仿宋_GBK" w:cs="Times New Roman"/>
          <w:kern w:val="2"/>
          <w:sz w:val="32"/>
          <w:szCs w:val="32"/>
        </w:rPr>
        <w:t>，每年培训供水管理户20％以上</w:t>
      </w:r>
      <w:r>
        <w:rPr>
          <w:rFonts w:ascii="方正仿宋_GBK" w:eastAsia="方正仿宋_GBK" w:cs="Times New Roman"/>
          <w:kern w:val="2"/>
          <w:sz w:val="32"/>
          <w:szCs w:val="32"/>
        </w:rPr>
        <w:t>。</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56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lang w:eastAsia="zh-CN"/>
        </w:rPr>
        <w:t>三是</w:t>
      </w:r>
      <w:r>
        <w:rPr>
          <w:rFonts w:hint="eastAsia" w:ascii="方正仿宋_GBK" w:eastAsia="方正仿宋_GBK" w:cs="Times New Roman"/>
          <w:kern w:val="2"/>
          <w:sz w:val="32"/>
          <w:szCs w:val="32"/>
        </w:rPr>
        <w:t>要面向公众，发动群众，提高公众节水意识。通过举办专题文艺晚会、知识竞赛、节水成果展览和各种以节约用水为主题的各种群艺活动，并注重运用板报、公益广告、宣传标语、有线广播、电视以及广告互联网等媒体形式坚持长期宣传，以提高公众的节水意识。</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56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lang w:eastAsia="zh-CN"/>
        </w:rPr>
        <w:t>四是</w:t>
      </w:r>
      <w:r>
        <w:rPr>
          <w:rFonts w:hint="eastAsia" w:ascii="方正仿宋_GBK" w:eastAsia="方正仿宋_GBK" w:cs="Times New Roman"/>
          <w:kern w:val="2"/>
          <w:sz w:val="32"/>
          <w:szCs w:val="32"/>
        </w:rPr>
        <w:t>要立足长远开展宣传教育活动。应当把我国现实的水环境和水资源状况纳入中、小学教育，使公众从小就接受到水忧患意识的熏陶。经常性地在广大中小学生中间开展主题性质的征文、讲座、歌咏比赛、夏令营和郊游活动，使公民从小就养成良好的节水观念。</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56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lang w:eastAsia="zh-CN"/>
        </w:rPr>
        <w:t>五是</w:t>
      </w:r>
      <w:r>
        <w:rPr>
          <w:rFonts w:hint="eastAsia" w:ascii="方正仿宋_GBK" w:eastAsia="方正仿宋_GBK" w:cs="Times New Roman"/>
          <w:kern w:val="2"/>
          <w:sz w:val="32"/>
          <w:szCs w:val="32"/>
        </w:rPr>
        <w:t>加强节水监督，舆论媒体有关部门及时接纳并受理对跑、冒、滴、漏等浪费水行为的严肃查处，及时予以曝光，进行深层次地追踪报道，抓好正反两个方面的典型事例，以引起公众的充分关注，同时开通节水监督专线，呼吁社会对浪费水的行为进行监督，逐步形成全民节水、人人节水、爱水、珍惜水的良好社会道德风尚。</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04" w:name="_Toc774384667"/>
      <w:bookmarkStart w:id="105" w:name="_Toc1412267052"/>
      <w:bookmarkStart w:id="106" w:name="_Toc43944133"/>
      <w:bookmarkStart w:id="107" w:name="_Toc16931"/>
      <w:r>
        <w:rPr>
          <w:rFonts w:hint="eastAsia" w:ascii="方正楷体_GBK" w:hAnsi="Times New Roman" w:eastAsia="方正楷体_GBK" w:cs="Times New Roman"/>
          <w:b w:val="0"/>
          <w:bCs w:val="0"/>
          <w:sz w:val="32"/>
          <w:szCs w:val="32"/>
          <w:lang w:val="en-US" w:eastAsia="zh-CN"/>
        </w:rPr>
        <w:t>5.6节约用水监督考核体系建设</w:t>
      </w:r>
      <w:bookmarkEnd w:id="104"/>
      <w:bookmarkEnd w:id="105"/>
      <w:bookmarkEnd w:id="106"/>
      <w:bookmarkEnd w:id="107"/>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5.6.1强化节水办公室的职能职责</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将职能和业务范围扩大到全区，负责全区的节约用水工作；负责编制节约用水规划、计划并组织实施；制订有关节水标准并监督实施；负责计划用水和超计划加价水费征收、使用的管理工作；参与重大节水项目的设计审查与工程验收。作为永川区节水型社会建设领导小组办公室，永川区节约用水办公室具体负责对全县节水型社会建设进行组织、规划、协调、监督和检查。核定人员编制，落实管理资金，明确职责，全面负责辖区内节水管理和节水型社会建设。同时，有关部门和企事业单位配备专职的节水管理人员，形成一个完整的管理网络，有效地推动节水管理的工作。</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5.6.2建立政府领导负责、各级相关部门参与的工作机制</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把节水型社会建设作为各镇</w:t>
      </w:r>
      <w:r>
        <w:rPr>
          <w:rFonts w:hint="eastAsia" w:ascii="方正仿宋_GBK" w:hAnsi="宋体" w:eastAsia="方正仿宋_GBK"/>
          <w:sz w:val="32"/>
          <w:szCs w:val="32"/>
          <w:lang w:eastAsia="zh-CN"/>
        </w:rPr>
        <w:t>政府（街道办事处）</w:t>
      </w:r>
      <w:r>
        <w:rPr>
          <w:rFonts w:hint="eastAsia" w:ascii="方正仿宋_GBK" w:hAnsi="宋体" w:eastAsia="方正仿宋_GBK"/>
          <w:sz w:val="32"/>
          <w:szCs w:val="32"/>
        </w:rPr>
        <w:t>的任期目标，把节水型社会建设的责任纳入各工作岗位的职责之中，纳入各单位日常管理和工作考核之中，做到层层有责任，逐级抓落实。政府机构应在节水型社会建设中发挥表率作用，加强组织领导，制订节水型社会建设规划、节水型社会建设（试点）实施方案和用水定额标准等，带头节约用水。</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0"/>
        <w:rPr>
          <w:rFonts w:hint="eastAsia" w:ascii="方正黑体_GBK" w:hAnsi="方正黑体_GBK" w:eastAsia="方正黑体_GBK" w:cs="方正黑体_GBK"/>
          <w:b w:val="0"/>
          <w:bCs w:val="0"/>
          <w:kern w:val="2"/>
          <w:sz w:val="32"/>
          <w:szCs w:val="32"/>
          <w:lang w:val="en-US" w:eastAsia="zh-CN" w:bidi="ar-SA"/>
        </w:rPr>
      </w:pPr>
      <w:bookmarkStart w:id="108" w:name="_Toc1323395793"/>
      <w:bookmarkStart w:id="109" w:name="_Toc536533836"/>
      <w:bookmarkStart w:id="110" w:name="_Toc352884592"/>
      <w:bookmarkStart w:id="111" w:name="_Toc11778"/>
      <w:r>
        <w:rPr>
          <w:rFonts w:hint="eastAsia" w:ascii="方正黑体_GBK" w:hAnsi="方正黑体_GBK" w:eastAsia="方正黑体_GBK" w:cs="方正黑体_GBK"/>
          <w:b w:val="0"/>
          <w:bCs w:val="0"/>
          <w:kern w:val="2"/>
          <w:sz w:val="32"/>
          <w:szCs w:val="32"/>
          <w:lang w:val="en-US" w:eastAsia="zh-CN" w:bidi="ar-SA"/>
        </w:rPr>
        <w:t>6节水基础工程</w:t>
      </w:r>
      <w:bookmarkEnd w:id="108"/>
      <w:bookmarkEnd w:id="109"/>
      <w:bookmarkEnd w:id="110"/>
      <w:bookmarkEnd w:id="111"/>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12" w:name="_Toc11756"/>
      <w:bookmarkStart w:id="113" w:name="_Toc489714406"/>
      <w:bookmarkStart w:id="114" w:name="_Toc211001142"/>
      <w:bookmarkStart w:id="115" w:name="_Toc2074232661"/>
      <w:r>
        <w:rPr>
          <w:rFonts w:hint="eastAsia" w:ascii="方正楷体_GBK" w:hAnsi="Times New Roman" w:eastAsia="方正楷体_GBK" w:cs="Times New Roman"/>
          <w:b w:val="0"/>
          <w:bCs w:val="0"/>
          <w:sz w:val="32"/>
          <w:szCs w:val="32"/>
          <w:lang w:val="en-US" w:eastAsia="zh-CN"/>
        </w:rPr>
        <w:t>6.1供水管网改造</w:t>
      </w:r>
      <w:bookmarkEnd w:id="112"/>
      <w:bookmarkEnd w:id="113"/>
      <w:bookmarkEnd w:id="114"/>
      <w:bookmarkEnd w:id="115"/>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6.1.1城区管网改造</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科学制定和实施供水管网改造技术方案，对使用年限较长、材质落后和受损失修的供水管网进行更新改造，减少供水管网“跑冒滴漏”和“爆管”现象，降低管网漏损率，加强漏损控制管理。</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lang w:val="en-US" w:eastAsia="zh-CN"/>
        </w:rPr>
        <w:t>6.1.1.1</w:t>
      </w:r>
      <w:r>
        <w:rPr>
          <w:rFonts w:hint="eastAsia" w:ascii="方正仿宋_GBK" w:hAnsi="宋体" w:eastAsia="方正仿宋_GBK"/>
          <w:sz w:val="32"/>
          <w:szCs w:val="32"/>
        </w:rPr>
        <w:t>老城区供水管网改造工程</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逐步替换区域内老旧管网，规划管道长度5000m，投资约1000万元。</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lang w:val="en-US" w:eastAsia="zh-CN"/>
        </w:rPr>
        <w:t>6.1.1.2</w:t>
      </w:r>
      <w:r>
        <w:rPr>
          <w:rFonts w:hint="eastAsia" w:ascii="方正仿宋_GBK" w:hAnsi="宋体" w:eastAsia="方正仿宋_GBK"/>
          <w:sz w:val="32"/>
          <w:szCs w:val="32"/>
        </w:rPr>
        <w:t>新城片区供水管网改造工程</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逐步替换区域内老旧管网，规划管道长度10000m，投资约2000万元。</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lang w:val="en-US" w:eastAsia="zh-CN"/>
        </w:rPr>
        <w:t>6.1.1.3</w:t>
      </w:r>
      <w:r>
        <w:rPr>
          <w:rFonts w:hint="eastAsia" w:ascii="方正仿宋_GBK" w:hAnsi="宋体" w:eastAsia="方正仿宋_GBK"/>
          <w:sz w:val="32"/>
          <w:szCs w:val="32"/>
        </w:rPr>
        <w:t>一户</w:t>
      </w:r>
      <w:r>
        <w:rPr>
          <w:rFonts w:hint="eastAsia" w:ascii="方正仿宋_GBK" w:hAnsi="宋体" w:eastAsia="方正仿宋_GBK"/>
          <w:sz w:val="32"/>
          <w:szCs w:val="32"/>
          <w:lang w:eastAsia="zh-CN"/>
        </w:rPr>
        <w:t>一</w:t>
      </w:r>
      <w:r>
        <w:rPr>
          <w:rFonts w:hint="eastAsia" w:ascii="方正仿宋_GBK" w:hAnsi="宋体" w:eastAsia="方正仿宋_GBK"/>
          <w:sz w:val="32"/>
          <w:szCs w:val="32"/>
        </w:rPr>
        <w:t>表及二次供水设施改造</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“十四五”期间，加大宣传与改造力度，力争将仍使用总分表计量的4500户用户改造为一户一表；力争将目前城区341套二次供水设施改造完成，投资约1000万元。</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6.1.2镇街管网改造</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对三教、板桥、双石、红炉、来苏、宝峰、陈食、金龙、卫星湖、五间、何埂、吉安、朱沱等29个老旧工程进行改造。投资约22300万元。</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6.1.3泵站的更新改造工程</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长江提水泵站改造，管道及水泵的更换，投资约800万元。</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16" w:name="_Toc314076418"/>
      <w:bookmarkStart w:id="117" w:name="_Toc588389334"/>
      <w:bookmarkStart w:id="118" w:name="_Toc618740334"/>
      <w:bookmarkStart w:id="119" w:name="_Toc13581"/>
      <w:r>
        <w:rPr>
          <w:rFonts w:hint="eastAsia" w:ascii="方正楷体_GBK" w:hAnsi="Times New Roman" w:eastAsia="方正楷体_GBK" w:cs="Times New Roman"/>
          <w:b w:val="0"/>
          <w:bCs w:val="0"/>
          <w:sz w:val="32"/>
          <w:szCs w:val="32"/>
          <w:lang w:val="en-US" w:eastAsia="zh-CN"/>
        </w:rPr>
        <w:t>6.2非常规水源利用工程</w:t>
      </w:r>
      <w:bookmarkEnd w:id="116"/>
      <w:bookmarkEnd w:id="117"/>
      <w:bookmarkEnd w:id="118"/>
      <w:bookmarkEnd w:id="119"/>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再生水利用工程，是将污水资源化，作为水资源利用的重要补充。实现优水优用、分质供水，一方面解决部分污水污染问题，另一方面节约了水资源，实现了水资源的优化配置，由此可以产生较大的经济效益、社会效益和环境效益。</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因此在科学合理开发利用地表水、地下水的同时，开发利用再生水、雨水等非常规水源，增加可供水。按照水质优劣分别供给各方所需的用水，尤其对永川区景观河道用水供给充足的非常规水源，缓解水资源紧张并互相制约。</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永川区拟实施永川污水处理厂三期中水回用工程，设计规模为3.0万m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/d，由厂区工程和配水管网两部分组成，其中新建加压泵房1座、加氯间1座、调节池1座，配套建设配水管道193m，工程投资1616万元。</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20" w:name="_Toc1398029272"/>
      <w:bookmarkStart w:id="121" w:name="_Toc22204"/>
      <w:bookmarkStart w:id="122" w:name="_Toc2060941308"/>
      <w:bookmarkStart w:id="123" w:name="_Toc1798780109"/>
      <w:r>
        <w:rPr>
          <w:rFonts w:hint="eastAsia" w:ascii="方正楷体_GBK" w:hAnsi="Times New Roman" w:eastAsia="方正楷体_GBK" w:cs="Times New Roman"/>
          <w:b w:val="0"/>
          <w:bCs w:val="0"/>
          <w:sz w:val="32"/>
          <w:szCs w:val="32"/>
          <w:lang w:val="en-US" w:eastAsia="zh-CN"/>
        </w:rPr>
        <w:t>6.3农业节水灌溉工程</w:t>
      </w:r>
      <w:bookmarkEnd w:id="120"/>
      <w:bookmarkEnd w:id="121"/>
      <w:bookmarkEnd w:id="122"/>
      <w:bookmarkEnd w:id="123"/>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sz w:val="32"/>
          <w:szCs w:val="32"/>
          <w:lang w:eastAsia="zh-CN"/>
        </w:rPr>
        <w:t>“十四五</w:t>
      </w:r>
      <w:r>
        <w:rPr>
          <w:rFonts w:hint="default" w:ascii="方正仿宋_GBK" w:hAnsi="宋体" w:eastAsia="方正仿宋_GBK"/>
          <w:sz w:val="32"/>
          <w:szCs w:val="32"/>
          <w:lang w:val="en-US" w:eastAsia="zh-CN"/>
        </w:rPr>
        <w:t>”</w:t>
      </w:r>
      <w:r>
        <w:rPr>
          <w:rFonts w:hint="eastAsia" w:ascii="方正仿宋_GBK" w:hAnsi="宋体" w:eastAsia="方正仿宋_GBK"/>
          <w:sz w:val="32"/>
          <w:szCs w:val="32"/>
          <w:lang w:eastAsia="zh-CN"/>
        </w:rPr>
        <w:t>期间，</w:t>
      </w:r>
      <w:r>
        <w:rPr>
          <w:rFonts w:hint="eastAsia" w:ascii="方正仿宋_GBK" w:hAnsi="宋体" w:eastAsia="方正仿宋_GBK"/>
          <w:sz w:val="32"/>
          <w:szCs w:val="32"/>
        </w:rPr>
        <w:t>围绕乡村振兴战略，以粮食主产区、规模化蔬菜、经果林、烟叶、中药材等生产基地为重点，按照现代化农业建设要求，加快推进大中型灌区续建配套与现代化改造，促进灌区提档升级，提高灌溉供水保障率。在水土条件适宜地区，结合已建、在建水源工程，进行渠系配套工程建设。</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6.3.1重庆市永川区中型灌区工程</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分别对花滩、双河口、上游、卫星灌区内实施水库管道输水，防水建筑整治，泵站以及量水设施建设以及升级改造。投资约6000万元。</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6.3.2灌区智能化升级改造项目</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对渠道流量大于1m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/s的渠道实施流量、水位、水量的自动化监测。投资约2000万元。</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6.3.3农业水价综合改革项目</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规划在金龙镇洞子口村、南大</w:t>
      </w:r>
      <w:r>
        <w:rPr>
          <w:rFonts w:hint="eastAsia" w:ascii="方正仿宋_GBK" w:hAnsi="宋体" w:eastAsia="方正仿宋_GBK"/>
          <w:sz w:val="32"/>
          <w:szCs w:val="32"/>
        </w:rPr>
        <w:t>街八角寺村、何埂镇、五间镇2万亩农田进行农业水价综合改革工程，投资约2000万元。</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6.3.4五小水利项目</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水窖、水池、泵站、塘坝、水渠等新建、改建工程，投资约58700万元。</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24" w:name="_Toc10601"/>
      <w:bookmarkStart w:id="125" w:name="_Toc1582135586"/>
      <w:bookmarkStart w:id="126" w:name="_Toc1126872898"/>
      <w:bookmarkStart w:id="127" w:name="_Toc1198041071"/>
      <w:r>
        <w:rPr>
          <w:rFonts w:hint="eastAsia" w:ascii="方正楷体_GBK" w:hAnsi="Times New Roman" w:eastAsia="方正楷体_GBK" w:cs="Times New Roman"/>
          <w:b w:val="0"/>
          <w:bCs w:val="0"/>
          <w:sz w:val="32"/>
          <w:szCs w:val="32"/>
          <w:lang w:val="en-US" w:eastAsia="zh-CN"/>
        </w:rPr>
        <w:t>6.4海绵城市建设工程</w:t>
      </w:r>
      <w:bookmarkEnd w:id="124"/>
      <w:bookmarkEnd w:id="125"/>
      <w:bookmarkEnd w:id="126"/>
      <w:bookmarkEnd w:id="127"/>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海绵城市应与城市供水、排水、污水处理等基础设施相结合，统筹投资与建设。建成区以问题为导向建设海绵城市，结合老城区棚户区改造、内涝改造、护岸改造，充分结合公园绿地及广场，先期实施改造示范区，重点解决片区地表径流自然渗透受阻问题， 注重海绵生态恢复。新建区以海绵城市理念指导城市建设，将径流控制目标逐层分解到各小流域、各地块、路网，指标纳入地块出让指标，作为地块及路网建设的有效控制指标，将公共海绵设施建设纳入市政建设，重点解决新城区水污染、内涝防治、海绵新区建设问题。海绵城市主要建设途径：</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针对现状树池大都为硬质树池的现状，尽可能恢复树池的生态空间，为树池沿线硬质铺装提供生态空间；</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针对现状城区分布的停车场、停车位进行生态提升，打造全覆盖的生态停车位、生态停车场；</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现状广场、公园的生态空间强化。疏导地表径流，优化地表径流的自然路径；</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选择人行道绿化带宽且灌木乔木及地形管线简单的路段，作为现状道路海绵提升改造示范段建设；</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贯彻海绵理念对老旧小区进行提升改造，新建项目按照修建性规划的指标进行严格管控；</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持续推进城区的水环境整治工程，包括水质提升、污水 截流及雨污分流工程，加快推进岸线湿地建设。</w:t>
      </w:r>
    </w:p>
    <w:p>
      <w:pPr>
        <w:adjustRightInd/>
        <w:snapToGrid w:val="0"/>
        <w:spacing w:beforeLines="0" w:afterLines="0" w:line="264" w:lineRule="auto"/>
        <w:ind w:firstLine="0" w:firstLineChars="0"/>
        <w:jc w:val="center"/>
        <w:rPr>
          <w:rFonts w:hint="eastAsia" w:ascii="方正楷体_GBK" w:hAnsi="方正楷体_GBK" w:eastAsia="方正楷体_GBK" w:cs="方正楷体_GBK"/>
          <w:sz w:val="30"/>
          <w:szCs w:val="30"/>
        </w:rPr>
      </w:pPr>
      <w:r>
        <w:rPr>
          <w:rFonts w:hint="eastAsia" w:ascii="方正楷体_GBK" w:hAnsi="方正楷体_GBK" w:eastAsia="方正楷体_GBK" w:cs="方正楷体_GBK"/>
          <w:sz w:val="30"/>
          <w:szCs w:val="30"/>
        </w:rPr>
        <w:t>表6.4-1  永川区城区海绵城市基础设施建设规划表</w:t>
      </w:r>
    </w:p>
    <w:tbl>
      <w:tblPr>
        <w:tblStyle w:val="17"/>
        <w:tblW w:w="48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834"/>
        <w:gridCol w:w="831"/>
        <w:gridCol w:w="1807"/>
        <w:gridCol w:w="904"/>
        <w:gridCol w:w="1066"/>
        <w:gridCol w:w="911"/>
        <w:gridCol w:w="780"/>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bCs/>
                <w:kern w:val="0"/>
                <w:sz w:val="21"/>
                <w:szCs w:val="21"/>
              </w:rPr>
            </w:pPr>
            <w:r>
              <w:rPr>
                <w:rFonts w:hint="eastAsia" w:ascii="方正仿宋_GBK" w:hAnsi="方正仿宋_GBK" w:eastAsia="方正仿宋_GBK" w:cs="方正仿宋_GBK"/>
                <w:bCs/>
                <w:kern w:val="0"/>
                <w:sz w:val="21"/>
                <w:szCs w:val="21"/>
              </w:rPr>
              <w:t>序号</w:t>
            </w:r>
          </w:p>
        </w:tc>
        <w:tc>
          <w:tcPr>
            <w:tcW w:w="471" w:type="pct"/>
            <w:noWrap w:val="0"/>
            <w:vAlign w:val="center"/>
          </w:tcPr>
          <w:p>
            <w:pPr>
              <w:widowControl/>
              <w:snapToGrid w:val="0"/>
              <w:spacing w:line="240" w:lineRule="atLeast"/>
              <w:jc w:val="center"/>
              <w:rPr>
                <w:rFonts w:hint="eastAsia" w:ascii="方正仿宋_GBK" w:hAnsi="方正仿宋_GBK" w:eastAsia="方正仿宋_GBK" w:cs="方正仿宋_GBK"/>
                <w:bCs/>
                <w:kern w:val="0"/>
                <w:sz w:val="21"/>
                <w:szCs w:val="21"/>
              </w:rPr>
            </w:pPr>
            <w:r>
              <w:rPr>
                <w:rFonts w:hint="eastAsia" w:ascii="方正仿宋_GBK" w:hAnsi="方正仿宋_GBK" w:eastAsia="方正仿宋_GBK" w:cs="方正仿宋_GBK"/>
                <w:bCs/>
                <w:kern w:val="0"/>
                <w:sz w:val="21"/>
                <w:szCs w:val="21"/>
              </w:rPr>
              <w:t>一级分区</w:t>
            </w: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bCs/>
                <w:kern w:val="0"/>
                <w:sz w:val="21"/>
                <w:szCs w:val="21"/>
              </w:rPr>
            </w:pPr>
            <w:r>
              <w:rPr>
                <w:rFonts w:hint="eastAsia" w:ascii="方正仿宋_GBK" w:hAnsi="方正仿宋_GBK" w:eastAsia="方正仿宋_GBK" w:cs="方正仿宋_GBK"/>
                <w:bCs/>
                <w:kern w:val="0"/>
                <w:sz w:val="21"/>
                <w:szCs w:val="21"/>
              </w:rPr>
              <w:t>二级分区</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bCs/>
                <w:kern w:val="0"/>
                <w:sz w:val="21"/>
                <w:szCs w:val="21"/>
              </w:rPr>
            </w:pPr>
            <w:r>
              <w:rPr>
                <w:rFonts w:hint="eastAsia" w:ascii="方正仿宋_GBK" w:hAnsi="方正仿宋_GBK" w:eastAsia="方正仿宋_GBK" w:cs="方正仿宋_GBK"/>
                <w:bCs/>
                <w:kern w:val="0"/>
                <w:sz w:val="21"/>
                <w:szCs w:val="21"/>
              </w:rPr>
              <w:t>海绵提升建设内容简介</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bCs/>
                <w:kern w:val="0"/>
                <w:sz w:val="21"/>
                <w:szCs w:val="21"/>
              </w:rPr>
            </w:pPr>
            <w:r>
              <w:rPr>
                <w:rFonts w:hint="eastAsia" w:ascii="方正仿宋_GBK" w:hAnsi="方正仿宋_GBK" w:eastAsia="方正仿宋_GBK" w:cs="方正仿宋_GBK"/>
                <w:bCs/>
                <w:kern w:val="0"/>
                <w:sz w:val="21"/>
                <w:szCs w:val="21"/>
              </w:rPr>
              <w:t>分类</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bCs/>
                <w:kern w:val="0"/>
                <w:sz w:val="21"/>
                <w:szCs w:val="21"/>
              </w:rPr>
            </w:pPr>
            <w:r>
              <w:rPr>
                <w:rFonts w:hint="eastAsia" w:ascii="方正仿宋_GBK" w:hAnsi="方正仿宋_GBK" w:eastAsia="方正仿宋_GBK" w:cs="方正仿宋_GBK"/>
                <w:bCs/>
                <w:kern w:val="0"/>
                <w:sz w:val="21"/>
                <w:szCs w:val="21"/>
              </w:rPr>
              <w:t>指标要 求</w:t>
            </w:r>
          </w:p>
        </w:tc>
        <w:tc>
          <w:tcPr>
            <w:tcW w:w="514" w:type="pct"/>
            <w:noWrap w:val="0"/>
            <w:vAlign w:val="center"/>
          </w:tcPr>
          <w:p>
            <w:pPr>
              <w:widowControl/>
              <w:snapToGrid w:val="0"/>
              <w:spacing w:line="240" w:lineRule="atLeast"/>
              <w:jc w:val="center"/>
              <w:rPr>
                <w:rFonts w:hint="eastAsia" w:ascii="方正仿宋_GBK" w:hAnsi="方正仿宋_GBK" w:eastAsia="方正仿宋_GBK" w:cs="方正仿宋_GBK"/>
                <w:bCs/>
                <w:kern w:val="0"/>
                <w:sz w:val="21"/>
                <w:szCs w:val="21"/>
              </w:rPr>
            </w:pPr>
            <w:r>
              <w:rPr>
                <w:rFonts w:hint="eastAsia" w:ascii="方正仿宋_GBK" w:hAnsi="方正仿宋_GBK" w:eastAsia="方正仿宋_GBK" w:cs="方正仿宋_GBK"/>
                <w:bCs/>
                <w:kern w:val="0"/>
                <w:sz w:val="21"/>
                <w:szCs w:val="21"/>
              </w:rPr>
              <w:t>汇水面 积/km</w:t>
            </w:r>
            <w:r>
              <w:rPr>
                <w:rFonts w:hint="eastAsia" w:ascii="方正仿宋_GBK" w:hAnsi="方正仿宋_GBK" w:eastAsia="方正仿宋_GBK" w:cs="方正仿宋_GBK"/>
                <w:bCs/>
                <w:kern w:val="0"/>
                <w:sz w:val="21"/>
                <w:szCs w:val="21"/>
                <w:vertAlign w:val="superscript"/>
              </w:rPr>
              <w:t>2</w:t>
            </w:r>
          </w:p>
        </w:tc>
        <w:tc>
          <w:tcPr>
            <w:tcW w:w="441" w:type="pct"/>
            <w:noWrap w:val="0"/>
            <w:vAlign w:val="center"/>
          </w:tcPr>
          <w:p>
            <w:pPr>
              <w:widowControl/>
              <w:snapToGrid w:val="0"/>
              <w:spacing w:line="240" w:lineRule="atLeast"/>
              <w:jc w:val="center"/>
              <w:rPr>
                <w:rFonts w:hint="eastAsia" w:ascii="方正仿宋_GBK" w:hAnsi="方正仿宋_GBK" w:eastAsia="方正仿宋_GBK" w:cs="方正仿宋_GBK"/>
                <w:bCs/>
                <w:kern w:val="0"/>
                <w:sz w:val="21"/>
                <w:szCs w:val="21"/>
              </w:rPr>
            </w:pPr>
            <w:r>
              <w:rPr>
                <w:rFonts w:hint="eastAsia" w:ascii="方正仿宋_GBK" w:hAnsi="方正仿宋_GBK" w:eastAsia="方正仿宋_GBK" w:cs="方正仿宋_GBK"/>
                <w:bCs/>
                <w:kern w:val="0"/>
                <w:sz w:val="21"/>
                <w:szCs w:val="21"/>
              </w:rPr>
              <w:t>建设年限</w:t>
            </w: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bCs/>
                <w:kern w:val="0"/>
                <w:sz w:val="21"/>
                <w:szCs w:val="21"/>
              </w:rPr>
            </w:pPr>
            <w:r>
              <w:rPr>
                <w:rFonts w:hint="eastAsia" w:ascii="方正仿宋_GBK" w:hAnsi="方正仿宋_GBK" w:eastAsia="方正仿宋_GBK" w:cs="方正仿宋_GBK"/>
                <w:bCs/>
                <w:kern w:val="0"/>
                <w:sz w:val="21"/>
                <w:szCs w:val="21"/>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w:t>
            </w:r>
          </w:p>
        </w:tc>
        <w:tc>
          <w:tcPr>
            <w:tcW w:w="471" w:type="pct"/>
            <w:vMerge w:val="restar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跳蹬河流域神女湖片区</w:t>
            </w: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TD-10</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对神女湖广场地表 径流进行疏导，引 导地表径流进入现 状神女湖幸福广场 的雨水塘</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公园绿地</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地块Pt:85%</w:t>
            </w:r>
          </w:p>
        </w:tc>
        <w:tc>
          <w:tcPr>
            <w:tcW w:w="514" w:type="pct"/>
            <w:vMerge w:val="restar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4.49</w:t>
            </w:r>
          </w:p>
        </w:tc>
        <w:tc>
          <w:tcPr>
            <w:tcW w:w="441" w:type="pct"/>
            <w:vMerge w:val="restar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2020~2021</w:t>
            </w: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w:t>
            </w:r>
          </w:p>
        </w:tc>
        <w:tc>
          <w:tcPr>
            <w:tcW w:w="471"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TD-10</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神女湖广场旁侧停 车场海绵提升改造</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道路与广场</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地块Pt:75%</w:t>
            </w:r>
          </w:p>
        </w:tc>
        <w:tc>
          <w:tcPr>
            <w:tcW w:w="514"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41"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w:t>
            </w:r>
          </w:p>
        </w:tc>
        <w:tc>
          <w:tcPr>
            <w:tcW w:w="471"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TD-9</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望贤公园海绵提 升，增设植草沟和 雨水花园</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公园绿地</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地块Pt:85%</w:t>
            </w:r>
          </w:p>
        </w:tc>
        <w:tc>
          <w:tcPr>
            <w:tcW w:w="514"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41"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w:t>
            </w:r>
          </w:p>
        </w:tc>
        <w:tc>
          <w:tcPr>
            <w:tcW w:w="471" w:type="pct"/>
            <w:vMerge w:val="restar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红旗河流域</w:t>
            </w: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HQ-2</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兴龙大道海绵提升项目</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道路与广场</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道路Pt:65%</w:t>
            </w:r>
          </w:p>
        </w:tc>
        <w:tc>
          <w:tcPr>
            <w:tcW w:w="514" w:type="pct"/>
            <w:vMerge w:val="restar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　</w:t>
            </w:r>
          </w:p>
        </w:tc>
        <w:tc>
          <w:tcPr>
            <w:tcW w:w="44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2020~2021</w:t>
            </w: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w:t>
            </w:r>
          </w:p>
        </w:tc>
        <w:tc>
          <w:tcPr>
            <w:tcW w:w="471"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HQ-4</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红河广场停车场海绵改造</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道路与广场</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地块Pt:75%</w:t>
            </w:r>
          </w:p>
        </w:tc>
        <w:tc>
          <w:tcPr>
            <w:tcW w:w="514"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4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2020~2021</w:t>
            </w: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6</w:t>
            </w:r>
          </w:p>
        </w:tc>
        <w:tc>
          <w:tcPr>
            <w:tcW w:w="471"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HQ-6</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兴龙湖周边停车场 海绵提升项目</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道路与广场</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子级分区 Pt： 56.02%</w:t>
            </w:r>
          </w:p>
        </w:tc>
        <w:tc>
          <w:tcPr>
            <w:tcW w:w="514"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4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2021~2022</w:t>
            </w: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7</w:t>
            </w:r>
          </w:p>
        </w:tc>
        <w:tc>
          <w:tcPr>
            <w:tcW w:w="471"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HQ-4</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永川区建委门前停车场海绵城市改造 项目</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道路与广场</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子级分 区 Pt： 56.02%</w:t>
            </w:r>
          </w:p>
        </w:tc>
        <w:tc>
          <w:tcPr>
            <w:tcW w:w="514"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4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2020~2021</w:t>
            </w: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8</w:t>
            </w:r>
          </w:p>
        </w:tc>
        <w:tc>
          <w:tcPr>
            <w:tcW w:w="471"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HQ-4</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人民大道、红河大 道海绵提升项目</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道路与广场</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道路Pt:65%</w:t>
            </w:r>
          </w:p>
        </w:tc>
        <w:tc>
          <w:tcPr>
            <w:tcW w:w="514"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4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2021~2022</w:t>
            </w: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9</w:t>
            </w:r>
          </w:p>
        </w:tc>
        <w:tc>
          <w:tcPr>
            <w:tcW w:w="471" w:type="pct"/>
            <w:vMerge w:val="restar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玉屏河流域</w:t>
            </w: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YP-1</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渝西广场海绵提升改造</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道路与广场</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子级分区 Pt：55.06%</w:t>
            </w:r>
          </w:p>
        </w:tc>
        <w:tc>
          <w:tcPr>
            <w:tcW w:w="514" w:type="pct"/>
            <w:vMerge w:val="restar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2.36</w:t>
            </w:r>
          </w:p>
        </w:tc>
        <w:tc>
          <w:tcPr>
            <w:tcW w:w="44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2021~2022</w:t>
            </w: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10</w:t>
            </w:r>
          </w:p>
        </w:tc>
        <w:tc>
          <w:tcPr>
            <w:tcW w:w="471"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YP-6</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植物园内广场海绵提升改造</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道路与广场</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地块Pt:65%</w:t>
            </w:r>
          </w:p>
        </w:tc>
        <w:tc>
          <w:tcPr>
            <w:tcW w:w="514"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4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2020~2021</w:t>
            </w: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11</w:t>
            </w:r>
          </w:p>
        </w:tc>
        <w:tc>
          <w:tcPr>
            <w:tcW w:w="471"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　</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生态树池改造</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道路与广场</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地块Pt:65%</w:t>
            </w:r>
          </w:p>
        </w:tc>
        <w:tc>
          <w:tcPr>
            <w:tcW w:w="514"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4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2020~2021</w:t>
            </w: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12</w:t>
            </w:r>
          </w:p>
        </w:tc>
        <w:tc>
          <w:tcPr>
            <w:tcW w:w="471" w:type="pct"/>
            <w:vMerge w:val="restar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萱花河</w:t>
            </w: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XH-1</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文曲广场、体育馆对面广场</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道路与广场</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地块Pt:65%</w:t>
            </w:r>
          </w:p>
        </w:tc>
        <w:tc>
          <w:tcPr>
            <w:tcW w:w="514" w:type="pct"/>
            <w:vMerge w:val="restar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1.43</w:t>
            </w:r>
          </w:p>
        </w:tc>
        <w:tc>
          <w:tcPr>
            <w:tcW w:w="44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2020~2021</w:t>
            </w: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13</w:t>
            </w:r>
          </w:p>
        </w:tc>
        <w:tc>
          <w:tcPr>
            <w:tcW w:w="471"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XH-1</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生态树池改造</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道路与广场</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　</w:t>
            </w:r>
          </w:p>
        </w:tc>
        <w:tc>
          <w:tcPr>
            <w:tcW w:w="514" w:type="pct"/>
            <w:vMerge w:val="continue"/>
            <w:noWrap w:val="0"/>
            <w:vAlign w:val="center"/>
          </w:tcPr>
          <w:p>
            <w:pPr>
              <w:widowControl/>
              <w:snapToGrid w:val="0"/>
              <w:spacing w:line="240" w:lineRule="atLeast"/>
              <w:jc w:val="left"/>
              <w:rPr>
                <w:rFonts w:hint="eastAsia" w:ascii="方正仿宋_GBK" w:hAnsi="方正仿宋_GBK" w:eastAsia="方正仿宋_GBK" w:cs="方正仿宋_GBK"/>
                <w:kern w:val="0"/>
                <w:sz w:val="21"/>
                <w:szCs w:val="21"/>
              </w:rPr>
            </w:pPr>
          </w:p>
        </w:tc>
        <w:tc>
          <w:tcPr>
            <w:tcW w:w="44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2020~2021</w:t>
            </w: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14</w:t>
            </w:r>
          </w:p>
        </w:tc>
        <w:tc>
          <w:tcPr>
            <w:tcW w:w="47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凤凰湖流域</w:t>
            </w: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LD-A4-1、 LD-A4-2</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兴龙大道利用人行 道绿化带贯彻海绵 理念（人行道绿化 带改造条件好）</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道路与广场</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道路Pt:65%</w:t>
            </w:r>
          </w:p>
        </w:tc>
        <w:tc>
          <w:tcPr>
            <w:tcW w:w="514"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0.152</w:t>
            </w:r>
          </w:p>
        </w:tc>
        <w:tc>
          <w:tcPr>
            <w:tcW w:w="44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2020~2021</w:t>
            </w: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15</w:t>
            </w:r>
          </w:p>
        </w:tc>
        <w:tc>
          <w:tcPr>
            <w:tcW w:w="47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旺龙湖流域</w:t>
            </w: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DQ-5</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旺龙湖湿地公园</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公园绿地</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地块Pt:85%</w:t>
            </w:r>
          </w:p>
        </w:tc>
        <w:tc>
          <w:tcPr>
            <w:tcW w:w="514"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2.51</w:t>
            </w:r>
          </w:p>
        </w:tc>
        <w:tc>
          <w:tcPr>
            <w:tcW w:w="44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2021~2022</w:t>
            </w: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16</w:t>
            </w:r>
          </w:p>
        </w:tc>
        <w:tc>
          <w:tcPr>
            <w:tcW w:w="47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临江河牛坝塘流域</w:t>
            </w: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　</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临江河湿地建设项目</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水系</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地块Pt:85%</w:t>
            </w:r>
          </w:p>
        </w:tc>
        <w:tc>
          <w:tcPr>
            <w:tcW w:w="514"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　</w:t>
            </w:r>
          </w:p>
        </w:tc>
        <w:tc>
          <w:tcPr>
            <w:tcW w:w="44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2020~2021</w:t>
            </w: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blHeader/>
        </w:trPr>
        <w:tc>
          <w:tcPr>
            <w:tcW w:w="376"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合计</w:t>
            </w:r>
          </w:p>
        </w:tc>
        <w:tc>
          <w:tcPr>
            <w:tcW w:w="47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　</w:t>
            </w:r>
          </w:p>
        </w:tc>
        <w:tc>
          <w:tcPr>
            <w:tcW w:w="47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　</w:t>
            </w:r>
          </w:p>
        </w:tc>
        <w:tc>
          <w:tcPr>
            <w:tcW w:w="102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　</w:t>
            </w:r>
          </w:p>
        </w:tc>
        <w:tc>
          <w:tcPr>
            <w:tcW w:w="51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　</w:t>
            </w:r>
          </w:p>
        </w:tc>
        <w:tc>
          <w:tcPr>
            <w:tcW w:w="602"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　</w:t>
            </w:r>
          </w:p>
        </w:tc>
        <w:tc>
          <w:tcPr>
            <w:tcW w:w="514"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10.942</w:t>
            </w:r>
          </w:p>
        </w:tc>
        <w:tc>
          <w:tcPr>
            <w:tcW w:w="441"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　</w:t>
            </w:r>
          </w:p>
        </w:tc>
        <w:tc>
          <w:tcPr>
            <w:tcW w:w="590" w:type="pct"/>
            <w:noWrap w:val="0"/>
            <w:vAlign w:val="center"/>
          </w:tcPr>
          <w:p>
            <w:pPr>
              <w:widowControl/>
              <w:snapToGrid w:val="0"/>
              <w:spacing w:line="240" w:lineRule="atLeas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4800</w:t>
            </w:r>
          </w:p>
        </w:tc>
      </w:tr>
    </w:tbl>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28" w:name="_Toc1087907409"/>
      <w:bookmarkStart w:id="129" w:name="_Toc13161"/>
      <w:bookmarkStart w:id="130" w:name="_Toc1853897399"/>
      <w:bookmarkStart w:id="131" w:name="_Toc1711081602"/>
      <w:r>
        <w:rPr>
          <w:rFonts w:hint="eastAsia" w:ascii="方正楷体_GBK" w:hAnsi="Times New Roman" w:eastAsia="方正楷体_GBK" w:cs="Times New Roman"/>
          <w:b w:val="0"/>
          <w:bCs w:val="0"/>
          <w:sz w:val="32"/>
          <w:szCs w:val="32"/>
          <w:lang w:val="en-US" w:eastAsia="zh-CN"/>
        </w:rPr>
        <w:t>6.5能力建设工程</w:t>
      </w:r>
      <w:bookmarkEnd w:id="128"/>
      <w:bookmarkEnd w:id="129"/>
      <w:bookmarkEnd w:id="130"/>
      <w:bookmarkEnd w:id="131"/>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6.5.1加强特种行业用水计量收费管理</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特种行业用水是指的是以水为原料的生产企业用水，根据发改价格〔2009〕1789号文(2009年7月6日)说明，特种用水主要包括洗浴、洗车用水等。</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据统计，永川区现有洗浴中心约42家，城区洗车场所多达66家，目前永川区已经对该部分企业进行整改，主要整改：违规排放洗车污水；未按配套建设隔油池、清水池、截污沟、筛排等设施造成污水外泄污染道路；场所内外私自打井违法开采地下水。</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经2015年整改至今，永川区特种行业用水户已基本完善相关手续，目前均实行用水计量收费。在中远期规划年，相关部门应加大监管力度，严禁非法取水，严格执行计量收费标准。</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6.5.2加强计划定额用水管理</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rPr>
        <w:t>计划定额用水管理具有很强的行政和技术管理职能，是体现用水科学管理的必要手段。首先，要扩大计划定额用水管理范围，提高永川区城市的计划定额用水管理率。</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rPr>
        <w:t>2020年，城区用水规模在400m</w:t>
      </w:r>
      <w:r>
        <w:rPr>
          <w:rFonts w:hint="eastAsia" w:ascii="方正仿宋_GBK" w:eastAsia="方正仿宋_GBK" w:cs="Times New Roman"/>
          <w:kern w:val="2"/>
          <w:sz w:val="32"/>
          <w:szCs w:val="32"/>
          <w:vertAlign w:val="superscript"/>
        </w:rPr>
        <w:t>3</w:t>
      </w:r>
      <w:r>
        <w:rPr>
          <w:rFonts w:hint="eastAsia" w:ascii="方正仿宋_GBK" w:eastAsia="方正仿宋_GBK" w:cs="Times New Roman"/>
          <w:kern w:val="2"/>
          <w:sz w:val="32"/>
          <w:szCs w:val="32"/>
        </w:rPr>
        <w:t>/月以上的用户计划定额用水管理率为98%左右。在今后工作中，要把用水规模在400m</w:t>
      </w:r>
      <w:r>
        <w:rPr>
          <w:rFonts w:hint="eastAsia" w:ascii="方正仿宋_GBK" w:eastAsia="方正仿宋_GBK" w:cs="Times New Roman"/>
          <w:kern w:val="2"/>
          <w:sz w:val="32"/>
          <w:szCs w:val="32"/>
          <w:vertAlign w:val="superscript"/>
        </w:rPr>
        <w:t>3</w:t>
      </w:r>
      <w:r>
        <w:rPr>
          <w:rFonts w:hint="eastAsia" w:ascii="方正仿宋_GBK" w:eastAsia="方正仿宋_GBK" w:cs="Times New Roman"/>
          <w:kern w:val="2"/>
          <w:sz w:val="32"/>
          <w:szCs w:val="32"/>
        </w:rPr>
        <w:t>/月以下的用户逐步添入到计划定额用水管理范围内，到2025年使400m</w:t>
      </w:r>
      <w:r>
        <w:rPr>
          <w:rFonts w:hint="eastAsia" w:ascii="方正仿宋_GBK" w:eastAsia="方正仿宋_GBK" w:cs="Times New Roman"/>
          <w:kern w:val="2"/>
          <w:sz w:val="32"/>
          <w:szCs w:val="32"/>
          <w:vertAlign w:val="superscript"/>
        </w:rPr>
        <w:t>3</w:t>
      </w:r>
      <w:r>
        <w:rPr>
          <w:rFonts w:hint="eastAsia" w:ascii="方正仿宋_GBK" w:eastAsia="方正仿宋_GBK" w:cs="Times New Roman"/>
          <w:kern w:val="2"/>
          <w:sz w:val="32"/>
          <w:szCs w:val="32"/>
        </w:rPr>
        <w:t>/月以上计划定额用水管理率提高到100%，进一步提高全区节水量和节水管理水平。</w:t>
      </w:r>
    </w:p>
    <w:p>
      <w:pPr>
        <w:pStyle w:val="34"/>
        <w:pageBreakBefore w:val="0"/>
        <w:widowControl w:val="0"/>
        <w:kinsoku/>
        <w:wordWrap/>
        <w:overflowPunct/>
        <w:topLinePunct w:val="0"/>
        <w:autoSpaceDE/>
        <w:autoSpaceDN/>
        <w:bidi w:val="0"/>
        <w:adjustRightInd w:val="0"/>
        <w:snapToGrid w:val="0"/>
        <w:spacing w:before="0" w:beforeLines="0" w:after="0" w:afterLines="0" w:line="276" w:lineRule="auto"/>
        <w:ind w:firstLine="640" w:firstLineChars="200"/>
        <w:jc w:val="both"/>
        <w:textAlignment w:val="auto"/>
        <w:outlineLvl w:val="9"/>
        <w:rPr>
          <w:rFonts w:ascii="方正仿宋_GBK" w:eastAsia="方正仿宋_GBK" w:cs="Times New Roman"/>
          <w:kern w:val="2"/>
          <w:sz w:val="32"/>
          <w:szCs w:val="32"/>
        </w:rPr>
      </w:pPr>
      <w:r>
        <w:rPr>
          <w:rFonts w:hint="eastAsia" w:ascii="方正仿宋_GBK" w:eastAsia="方正仿宋_GBK" w:cs="Times New Roman"/>
          <w:kern w:val="2"/>
          <w:sz w:val="32"/>
          <w:szCs w:val="32"/>
        </w:rPr>
        <w:t>节水管理部门应根据各单位产品用水定额标准、水的重复利用率指标完成值以及近年来的实际用水量等情况，编制用水计划，落实管理措施。实行超计划用水累进加价制度。另外，积极推进用户开展水平衡测试工作，根据各单位测试结果，修订计划用水量，对于耗水量大，落后的生产工艺和设备要制定政策，强制淘汰。</w:t>
      </w:r>
      <w:r>
        <w:rPr>
          <w:rFonts w:ascii="方正仿宋_GBK" w:eastAsia="方正仿宋_GBK" w:cs="Times New Roman"/>
          <w:kern w:val="2"/>
          <w:sz w:val="32"/>
          <w:szCs w:val="32"/>
        </w:rPr>
        <w:t>鉴于目前</w:t>
      </w:r>
      <w:r>
        <w:rPr>
          <w:rFonts w:hint="eastAsia" w:ascii="方正仿宋_GBK" w:eastAsia="方正仿宋_GBK" w:cs="Times New Roman"/>
          <w:kern w:val="2"/>
          <w:sz w:val="32"/>
          <w:szCs w:val="32"/>
        </w:rPr>
        <w:t>永川区</w:t>
      </w:r>
      <w:r>
        <w:rPr>
          <w:rFonts w:ascii="方正仿宋_GBK" w:eastAsia="方正仿宋_GBK" w:cs="Times New Roman"/>
          <w:kern w:val="2"/>
          <w:sz w:val="32"/>
          <w:szCs w:val="32"/>
        </w:rPr>
        <w:t>工业企业水平衡测试率较低，在以前应出台鼓励工业企业开展水平衡测试工作的配套政策，健全以市场化方式为主的推进水平衡测试的机制，建议节水行政管理部门委托经核准有资质的其他相关单位和高校等机构展开水平衡测试工作，以提高</w:t>
      </w:r>
      <w:r>
        <w:rPr>
          <w:rFonts w:hint="eastAsia" w:ascii="方正仿宋_GBK" w:eastAsia="方正仿宋_GBK" w:cs="Times New Roman"/>
          <w:kern w:val="2"/>
          <w:sz w:val="32"/>
          <w:szCs w:val="32"/>
        </w:rPr>
        <w:t>永川</w:t>
      </w:r>
      <w:r>
        <w:rPr>
          <w:rFonts w:ascii="方正仿宋_GBK" w:eastAsia="方正仿宋_GBK" w:cs="Times New Roman"/>
          <w:kern w:val="2"/>
          <w:sz w:val="32"/>
          <w:szCs w:val="32"/>
        </w:rPr>
        <w:t>区工业水平衡测试率</w:t>
      </w:r>
      <w:r>
        <w:rPr>
          <w:rFonts w:hint="eastAsia" w:ascii="方正仿宋_GBK" w:eastAsia="方正仿宋_GBK" w:cs="Times New Roman"/>
          <w:kern w:val="2"/>
          <w:sz w:val="32"/>
          <w:szCs w:val="32"/>
        </w:rPr>
        <w:t>。</w:t>
      </w:r>
      <w:r>
        <w:rPr>
          <w:rFonts w:ascii="方正仿宋_GBK" w:eastAsia="方正仿宋_GBK" w:cs="Times New Roman"/>
          <w:kern w:val="2"/>
          <w:sz w:val="32"/>
          <w:szCs w:val="32"/>
        </w:rPr>
        <w:t>节水主管部门应与有关部门协商制订有利于促进工业节水发展的优惠政策，以促进工业节水达到一个新的水平。</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6.5.3加强高耗水行业审批、管理和“三同时”措施落实</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ascii="方正仿宋_GBK" w:hAnsi="宋体" w:eastAsia="方正仿宋_GBK"/>
          <w:sz w:val="32"/>
          <w:szCs w:val="32"/>
        </w:rPr>
        <w:t>控制生产力布局，加强建设项目水资源论证，</w:t>
      </w:r>
      <w:r>
        <w:rPr>
          <w:rFonts w:hint="eastAsia" w:ascii="方正仿宋_GBK" w:hAnsi="宋体" w:eastAsia="方正仿宋_GBK"/>
          <w:sz w:val="32"/>
          <w:szCs w:val="32"/>
        </w:rPr>
        <w:t>永川区</w:t>
      </w:r>
      <w:r>
        <w:rPr>
          <w:rFonts w:ascii="方正仿宋_GBK" w:hAnsi="宋体" w:eastAsia="方正仿宋_GBK"/>
          <w:sz w:val="32"/>
          <w:szCs w:val="32"/>
        </w:rPr>
        <w:t>政府行政主管部门</w:t>
      </w:r>
      <w:r>
        <w:rPr>
          <w:rFonts w:hint="eastAsia" w:ascii="方正仿宋_GBK" w:hAnsi="宋体" w:eastAsia="方正仿宋_GBK"/>
          <w:sz w:val="32"/>
          <w:szCs w:val="32"/>
        </w:rPr>
        <w:t>及节水主管部门现已</w:t>
      </w:r>
      <w:r>
        <w:rPr>
          <w:rFonts w:ascii="方正仿宋_GBK" w:hAnsi="宋体" w:eastAsia="方正仿宋_GBK"/>
          <w:sz w:val="32"/>
          <w:szCs w:val="32"/>
        </w:rPr>
        <w:t>编制限制高耗水项目目录及淘汰落后的高耗水工艺和高耗水设备（产品）目录，禁止引进高耗水、高污染工业项目，有关部门在审批项目时应拒绝审批该类项目。各工艺行业已有的高耗水工艺设备必须根据生产工艺和节水技术的进步情况逐步淘汰。</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未来月用水量在400</w:t>
      </w:r>
      <w:r>
        <w:rPr>
          <w:rFonts w:hint="eastAsia" w:ascii="方正仿宋_GBK" w:hAnsi="宋体" w:eastAsia="方正仿宋_GBK"/>
          <w:sz w:val="32"/>
          <w:szCs w:val="32"/>
          <w:lang w:val="zh-CN"/>
        </w:rPr>
        <w:t>m</w:t>
      </w:r>
      <w:r>
        <w:rPr>
          <w:rFonts w:hint="eastAsia" w:ascii="方正仿宋_GBK" w:hAnsi="宋体" w:eastAsia="方正仿宋_GBK"/>
          <w:sz w:val="32"/>
          <w:szCs w:val="32"/>
          <w:vertAlign w:val="superscript"/>
          <w:lang w:val="zh-CN"/>
        </w:rPr>
        <w:t>3</w:t>
      </w:r>
      <w:r>
        <w:rPr>
          <w:rFonts w:hint="eastAsia" w:ascii="方正仿宋_GBK" w:hAnsi="宋体" w:eastAsia="方正仿宋_GBK"/>
          <w:sz w:val="32"/>
          <w:szCs w:val="32"/>
        </w:rPr>
        <w:t>及以上的非居民新建、改建、扩建工程项目，须办理节水“三同时”相关手续。区水利局负责对新建、改建、扩建工程项目做好节水“三同时”管理的审核和验收。公共供水企业在受理月用水量400</w:t>
      </w:r>
      <w:r>
        <w:rPr>
          <w:rFonts w:hint="eastAsia" w:ascii="方正仿宋_GBK" w:hAnsi="宋体" w:eastAsia="方正仿宋_GBK"/>
          <w:sz w:val="32"/>
          <w:szCs w:val="32"/>
          <w:lang w:val="zh-CN"/>
        </w:rPr>
        <w:t>m</w:t>
      </w:r>
      <w:r>
        <w:rPr>
          <w:rFonts w:hint="eastAsia" w:ascii="方正仿宋_GBK" w:hAnsi="宋体" w:eastAsia="方正仿宋_GBK"/>
          <w:sz w:val="32"/>
          <w:szCs w:val="32"/>
          <w:vertAlign w:val="superscript"/>
          <w:lang w:val="zh-CN"/>
        </w:rPr>
        <w:t>3</w:t>
      </w:r>
      <w:r>
        <w:rPr>
          <w:rFonts w:hint="eastAsia" w:ascii="方正仿宋_GBK" w:hAnsi="宋体" w:eastAsia="方正仿宋_GBK"/>
          <w:sz w:val="32"/>
          <w:szCs w:val="32"/>
        </w:rPr>
        <w:t>以上非居民用水企业（单位）的接水申请时，应当查验计划用水管理部门的审核意见，对不执行节水“三同时”管理的工程项目，公共供水企业不得予以接水。区规资局、住建委、商务委等部门要做好新建、改建、扩建工程项目节水设施的监督，在审批规划、审核图纸、检查施工现场等职能范围内把好关。</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参照《节水型城市考核标准》和《城镇供水资源管理暂行办法》中关于“节水三同时管理”的要求，未来应进一步加强“三同时、四到位”管理，即建设项目的主体工程与节水措施同时设计、同时施工、同时投入使用；取水用水单位要做到用水计划到位、节水目标到位、节水措施到位、管水制度到位。</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新建、改建、扩建工程项目节水措施未按规定建设的，由区水利局责令建设单位限期整改，并按照《城镇供水资源管理暂行办法》等规定作出行政处罚。</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6.5.4水利基层服务体系建设</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以镇</w:t>
      </w:r>
      <w:r>
        <w:rPr>
          <w:rFonts w:hint="eastAsia" w:ascii="方正仿宋_GBK" w:hAnsi="宋体" w:eastAsia="方正仿宋_GBK"/>
          <w:sz w:val="32"/>
          <w:szCs w:val="32"/>
          <w:lang w:eastAsia="zh-CN"/>
        </w:rPr>
        <w:t>街</w:t>
      </w:r>
      <w:r>
        <w:rPr>
          <w:rFonts w:hint="eastAsia" w:ascii="方正仿宋_GBK" w:hAnsi="宋体" w:eastAsia="方正仿宋_GBK"/>
          <w:sz w:val="32"/>
          <w:szCs w:val="32"/>
        </w:rPr>
        <w:t>水利服务机构为主体的基层水利服务体系，是水利事业的基础保障。长期以来，镇</w:t>
      </w:r>
      <w:r>
        <w:rPr>
          <w:rFonts w:hint="eastAsia" w:ascii="方正仿宋_GBK" w:hAnsi="宋体" w:eastAsia="方正仿宋_GBK"/>
          <w:sz w:val="32"/>
          <w:szCs w:val="32"/>
          <w:lang w:eastAsia="zh-CN"/>
        </w:rPr>
        <w:t>街</w:t>
      </w:r>
      <w:r>
        <w:rPr>
          <w:rFonts w:hint="eastAsia" w:ascii="方正仿宋_GBK" w:hAnsi="宋体" w:eastAsia="方正仿宋_GBK"/>
          <w:sz w:val="32"/>
          <w:szCs w:val="32"/>
        </w:rPr>
        <w:t>水利站等基层水利服务机构在加强水利工程建设管理、保障粮食安全、维护农民群众利益、改善民生等方面发挥了重要作用。2011年中央一号文件明确要求建立健全职能明确、布局合理、队伍精干、服务到位的基层水利服务体系。近年来，区政府一直把加强农田水利设施建设放在农村基础建设的首位，支持力度逐年加大。艰巨而繁重的水利建设管理任务需要超前谋划并组织实施基层水利服务体系建设，确保粮食安全，确保新农村建设的大力推进。</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32" w:name="_Toc1383597713"/>
      <w:bookmarkStart w:id="133" w:name="_Toc21445"/>
      <w:bookmarkStart w:id="134" w:name="_Toc1364614145"/>
      <w:bookmarkStart w:id="135" w:name="_Toc989605358"/>
      <w:r>
        <w:rPr>
          <w:rFonts w:hint="eastAsia" w:ascii="方正楷体_GBK" w:hAnsi="Times New Roman" w:eastAsia="方正楷体_GBK" w:cs="Times New Roman"/>
          <w:b w:val="0"/>
          <w:bCs w:val="0"/>
          <w:sz w:val="32"/>
          <w:szCs w:val="32"/>
          <w:lang w:val="en-US" w:eastAsia="zh-CN"/>
        </w:rPr>
        <w:t>6.6节水载体建设</w:t>
      </w:r>
      <w:bookmarkEnd w:id="132"/>
      <w:bookmarkEnd w:id="133"/>
      <w:bookmarkEnd w:id="134"/>
      <w:bookmarkEnd w:id="135"/>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6.6.1生活节水</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城镇生活节水主要从提高居民节水意识、提高节水器具普及率及降低管道漏损率出发，逐步提高城市节水能力。</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lang w:val="en-US" w:eastAsia="zh-CN"/>
        </w:rPr>
      </w:pPr>
      <w:r>
        <w:rPr>
          <w:rFonts w:hint="eastAsia" w:ascii="方正仿宋_GBK" w:hAnsi="宋体" w:eastAsia="方正仿宋_GBK"/>
          <w:sz w:val="32"/>
          <w:szCs w:val="32"/>
          <w:lang w:val="en-US" w:eastAsia="zh-CN"/>
        </w:rPr>
        <w:t>6.6.1.1节水器推广</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十四五”水安全保障规划》要求全面推广使用城市节水器具。根据“水十条”文件要求，永川区将禁止生产、销售不符合节水标准的产品、设备。公共建筑必须采用节水器具，限期淘汰公共建筑中不符合节水标准的水嘴、便器水箱等生活用水器具。鼓励居民家庭选用节水器具。根据永川城区现状，仍须安装节水型器具6000套，估算投资约300万元。</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lang w:val="en-US" w:eastAsia="zh-CN"/>
        </w:rPr>
      </w:pPr>
      <w:r>
        <w:rPr>
          <w:rFonts w:hint="eastAsia" w:ascii="方正仿宋_GBK" w:hAnsi="宋体" w:eastAsia="方正仿宋_GBK"/>
          <w:sz w:val="32"/>
          <w:szCs w:val="32"/>
          <w:lang w:val="en-US" w:eastAsia="zh-CN"/>
        </w:rPr>
        <w:t>6.6.1.2节水型小区建设</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建设节水型社会，是全区各部门、各单位和广大居民的责任和义务。节水型小区是节水型社会的一个重要组成部分。节水型小区的建设也正是从根本上使居民自觉养成节水意识，达到资源节约、社会和谐的目的。</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相关部门应制订《永川区节水型小区考核办法》，节水型小区创建活动实行申报制度。创建小区对照节水型小区考核标准自查，达到申报条件的小区填报节水型小区申报表，并由街道办事处向永川区节约用水管理部门申请创建验收。根据要求，将由永川区建委对节水型小区进行验收和命名。</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永川区现有小区约有125处，已创建的节水型小区有21处， 2025年底创成节水型小区50处左右。</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拟2025年前完成香缇漫城、荷塘月色、金域蓝湾、康安尚都、金科公园王府、渝西印象、凤凰育才、皇城华府、至尊华庭、维诗卡、时代国际、康桥生活馆、盛世唐城、五米阳光、巴塞罗那、竹映三清、馨城国际、新东花园、龙州锦绣花园、荣华名都、碧桂园、禹泊园、橄榄郡、三华苑、恒大郦晶城、伟豪创世纪、水木年华、天之韵花园、汇龙花园、恒大翡翠华庭、天秀龙湾金融时代、城市铭人、香缇时光、香水湾、协信世外桃源、御景国际等50座节水型小区创建工作。</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节水型小区建设工作主要从以下几个方面出发：</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eastAsia="zh-CN"/>
        </w:rPr>
        <w:t>一是</w:t>
      </w:r>
      <w:r>
        <w:rPr>
          <w:rFonts w:hint="eastAsia" w:ascii="方正仿宋_GBK" w:hAnsi="宋体" w:eastAsia="方正仿宋_GBK"/>
          <w:sz w:val="32"/>
          <w:szCs w:val="32"/>
        </w:rPr>
        <w:t>开展节水科普宣传</w:t>
      </w:r>
      <w:r>
        <w:rPr>
          <w:rFonts w:hint="eastAsia" w:ascii="方正仿宋_GBK" w:hAnsi="宋体" w:eastAsia="方正仿宋_GBK"/>
          <w:sz w:val="32"/>
          <w:szCs w:val="32"/>
          <w:lang w:eastAsia="zh-CN"/>
        </w:rPr>
        <w:t>。</w:t>
      </w:r>
      <w:r>
        <w:rPr>
          <w:rFonts w:hint="eastAsia" w:ascii="方正仿宋_GBK" w:hAnsi="宋体" w:eastAsia="方正仿宋_GBK"/>
          <w:sz w:val="32"/>
          <w:szCs w:val="32"/>
        </w:rPr>
        <w:t>居民委员会、物业公司要定期开展面向小区居民、家庭的节水科普宣传，普及节水知识、节水技，提高节水意识。定期更换小区内节水宣传栏,广泛宣传开展节水型居民小区建设工作的目的和意义。通过开展节水志愿服务和社会实践活动，引导小区居民积极参与节水，倡导节水型生活方式和消费模式。</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eastAsia="zh-CN"/>
        </w:rPr>
        <w:t>二是</w:t>
      </w:r>
      <w:r>
        <w:rPr>
          <w:rFonts w:hint="eastAsia" w:ascii="方正仿宋_GBK" w:hAnsi="宋体" w:eastAsia="方正仿宋_GBK"/>
          <w:sz w:val="32"/>
          <w:szCs w:val="32"/>
        </w:rPr>
        <w:t>规范用水管理</w:t>
      </w:r>
      <w:r>
        <w:rPr>
          <w:rFonts w:hint="eastAsia" w:ascii="方正仿宋_GBK" w:hAnsi="宋体" w:eastAsia="方正仿宋_GBK"/>
          <w:sz w:val="32"/>
          <w:szCs w:val="32"/>
          <w:lang w:eastAsia="zh-CN"/>
        </w:rPr>
        <w:t>。</w:t>
      </w:r>
      <w:r>
        <w:rPr>
          <w:rFonts w:hint="eastAsia" w:ascii="方正仿宋_GBK" w:hAnsi="宋体" w:eastAsia="方正仿宋_GBK"/>
          <w:sz w:val="32"/>
          <w:szCs w:val="32"/>
        </w:rPr>
        <w:t>落实物业公司节水职责，建立健全小区用水制度，制定年度节水计划，加强目标责任管理。全面落实居民小区三级计量体系，加强小区内公共用水设施设备的日常管理和定期巡护、维修。积极引导居民委员会、业主委员会等参与节水管理和日常监督，推动建立公众参与节水机制和用水监督制度。</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eastAsia="zh-CN"/>
        </w:rPr>
        <w:t>三是</w:t>
      </w:r>
      <w:r>
        <w:rPr>
          <w:rFonts w:hint="eastAsia" w:ascii="方正仿宋_GBK" w:hAnsi="宋体" w:eastAsia="方正仿宋_GBK"/>
          <w:sz w:val="32"/>
          <w:szCs w:val="32"/>
        </w:rPr>
        <w:t>推广使用节水技术和设备</w:t>
      </w:r>
      <w:r>
        <w:rPr>
          <w:rFonts w:hint="eastAsia" w:ascii="方正仿宋_GBK" w:hAnsi="宋体" w:eastAsia="方正仿宋_GBK"/>
          <w:sz w:val="32"/>
          <w:szCs w:val="32"/>
          <w:lang w:eastAsia="zh-CN"/>
        </w:rPr>
        <w:t>。</w:t>
      </w:r>
      <w:r>
        <w:rPr>
          <w:rFonts w:hint="eastAsia" w:ascii="方正仿宋_GBK" w:hAnsi="宋体" w:eastAsia="方正仿宋_GBK"/>
          <w:sz w:val="32"/>
          <w:szCs w:val="32"/>
        </w:rPr>
        <w:t>在家庭和小区公共场所推广使用先进的节水技术、产品和设备，为小区住户更换改造节水型龙头，加快淘汰不符合节水标准的用水产品和设备，稳步推进老旧管网改造，有条件的小区积极推进再生水和雨水蓄集利用。</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经估算，单个节水型小区建设工作投资约58万元，故2020～2025年节水型小区建设投资约2900万元</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lang w:val="en-US" w:eastAsia="zh-CN"/>
        </w:rPr>
      </w:pPr>
      <w:r>
        <w:rPr>
          <w:rFonts w:hint="eastAsia" w:ascii="方正仿宋_GBK" w:hAnsi="宋体" w:eastAsia="方正仿宋_GBK"/>
          <w:sz w:val="32"/>
          <w:szCs w:val="32"/>
          <w:lang w:val="en-US" w:eastAsia="zh-CN"/>
        </w:rPr>
        <w:t>6.6.1.3节水型公共机构建设</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永川区公共机构77个，现已有48个完成节水建设，至2025年将全面完成节水型公共机构建，完成率为100%。</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lang w:val="en-US" w:eastAsia="zh-CN"/>
        </w:rPr>
      </w:pPr>
      <w:r>
        <w:rPr>
          <w:rFonts w:hint="eastAsia" w:ascii="方正仿宋_GBK" w:hAnsi="宋体" w:eastAsia="方正仿宋_GBK"/>
          <w:sz w:val="32"/>
          <w:szCs w:val="32"/>
          <w:lang w:val="en-US" w:eastAsia="zh-CN"/>
        </w:rPr>
        <w:t>6.6.1.4节水型高校</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永川区目前暂无节水型高校，至2025年将使节水型高校建成率达65%。</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lang w:val="en-US" w:eastAsia="zh-CN"/>
        </w:rPr>
      </w:pPr>
      <w:r>
        <w:rPr>
          <w:rFonts w:hint="eastAsia" w:ascii="方正仿宋_GBK" w:hAnsi="宋体" w:eastAsia="方正仿宋_GBK"/>
          <w:sz w:val="32"/>
          <w:szCs w:val="32"/>
          <w:lang w:val="en-US" w:eastAsia="zh-CN"/>
        </w:rPr>
        <w:t>6.6.1.5节水型宾馆（酒店）</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永川区目前暂无节水型宾馆（酒店），至2025年将使节水型宾馆（酒店）建成率达30%。</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6.6.2工业节水</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针对节水目标，要坚持“节流优先、治污为本、科学开源、综合利用”原则，以提高水的利用率为核心，以企业为主体，以科技进步为先导，加大结构调整和技术改造力度，深化工业节水管理，完善市场机制，增加优质、低能耗、高附加值、竞争力强的产品种类和数量，加大低耗水原料的比重，优化原料结构，提高用水效率。在区内大力发展都市型工业。严格控制禁止类、限制类产业和产品的发展。把工业节水工作提高到一个新水平，促进工业增长与水资源的协调发展。</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工业节水的重点是用水大户和污染大户，由于工业用水涉及门类多，工艺复杂，节水技术措施需从行业本身的具体情况出发，既考虑环境保护，还要考虑行业自身的工艺技术的改造升级以及产品更新换代等因素，针对性地选择适宜的节水技术，并抓住重点。</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6.6.2.1巩固和深化工企业的水平衡测试</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从开展建设节水型社会以来，永川区已逐步开展区内企业水平衡测试工作，明确了企业用水水平及用水定额。目前区内工业用水定额基本符合《</w:t>
      </w:r>
      <w:r>
        <w:rPr>
          <w:rFonts w:ascii="方正仿宋_GBK" w:hAnsi="宋体" w:eastAsia="方正仿宋_GBK"/>
          <w:sz w:val="32"/>
          <w:szCs w:val="32"/>
        </w:rPr>
        <w:t>GB/T18916</w:t>
      </w:r>
      <w:r>
        <w:rPr>
          <w:rFonts w:hint="eastAsia" w:ascii="方正仿宋_GBK" w:hAnsi="宋体" w:eastAsia="方正仿宋_GBK"/>
          <w:sz w:val="32"/>
          <w:szCs w:val="32"/>
        </w:rPr>
        <w:t>》系列标准，目前永川城区工业用水重复利用率约为79%，可进一步向Ⅰ级节水标准发展，达83%。故在接下来的工作中，须加强以下方面工作：</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2020-2025年，巩固和深化工业企业的水平衡测试成果，根据水平衡测试结果，采取工程措施全面整治工业企业内的跑、冒、漏现象。自备水源全部实行装表计量，监督其用水情况，按实际取水量收取水资源费。除电力行业外所有企业的直流冷取水系统必须改造成循环冷却水系统，各区一般工业间接冷却水循环率提高至95%以上。有条件的企业必须建设工艺用水处理回用设施。</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今后将继续开展工业企业的水平衡测试工作，推进节水型企业创建，按照节水型企业创建的要求，企业必须做好水平衡测试工作，且每三年重复一次。电力企业冷却水系统逐步改造成循环冷却水系统，间接冷却水循环率已较高的企业，逐步淘汰冷却效率低、用水量大的冷却设施，推广高效循环冷却处理技术并改进水质稳定处理技术提高浓缩倍数，淘汰浓缩倍数小于3的敞开式循环冷却水系统，推广浓缩倍数大于4的循环冷却水系统。对规划期内仍然留存的高耗水行业，逐渐淘汰设备落后、污染严重、经济效益差的小型企业；新建和改造大中型企业，采用新技术新设备，总体上使单位产品取水量下降20～30%。</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强化工业节水管理，建立合理的水价政策，工业生产用水根据用水定额和用水计划，实行定额内用水平价、超定额计划用水累进加价。按水权、水价、水市场理论，科学拟定不同分区的供水水价，以促进节水。合理确定和调整回用水价格，适时提高水价、水资源费和污水处理费，促进再生水回用利用。</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在规划期内，节水主管部门应加强对节水科技的投入和引导，以企业为主体推进清洁生产战略，优化工业产品结构，推行先进生产技术和工艺，在满足生产工艺要求的前提下，开展工序节水，推行一水多用、重复用水、循环用水和回用水技术，提高工艺回用率。政府可以在超计划加价等收入中，对工艺回用水项目给予一定的补偿。从区域总体上考虑，工业基地不宜大力发展能耗较大、规模过大的重工业，建议发展能耗少的高新技术的优势产业。</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节水管理部门要重视对生产工艺节水技术措施的研究，工艺节水不仅可以从根本上减少生产用水，而且具有减少用水设备，减少废水或污染物排放量、节省能源等一系列优点。但是为实行工艺节水，需改变生产方法、改革生产工艺，所涉及的问题多、情况复杂，通常适合在新建和改建企业中应用，因此，有必要做好永川城区主导工业行业节水新技术的追踪和开发研究工作，加强产、学、研结合，为工艺节水储备技术。</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6.6.2.2开展高耗水节水型企业建设</w:t>
      </w:r>
    </w:p>
    <w:p>
      <w:pPr>
        <w:pageBreakBefore w:val="0"/>
        <w:widowControl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认真贯彻落实《重庆市人民政府印发关于做好节水型区县创建工作的通知》（渝城管委</w:t>
      </w:r>
      <w:r>
        <w:rPr>
          <w:rFonts w:hint="eastAsia" w:ascii="方正仿宋_GBK" w:hAnsi="宋体" w:eastAsia="方正仿宋_GBK"/>
          <w:sz w:val="32"/>
          <w:szCs w:val="32"/>
          <w:lang w:eastAsia="zh-CN"/>
        </w:rPr>
        <w:t>〔</w:t>
      </w:r>
      <w:r>
        <w:rPr>
          <w:rFonts w:hint="eastAsia" w:ascii="方正仿宋_GBK" w:hAnsi="宋体" w:eastAsia="方正仿宋_GBK"/>
          <w:sz w:val="32"/>
          <w:szCs w:val="32"/>
          <w:lang w:val="en-US" w:eastAsia="zh-CN"/>
        </w:rPr>
        <w:t>2018</w:t>
      </w:r>
      <w:r>
        <w:rPr>
          <w:rFonts w:hint="eastAsia" w:ascii="方正仿宋_GBK" w:hAnsi="宋体" w:eastAsia="方正仿宋_GBK"/>
          <w:sz w:val="32"/>
          <w:szCs w:val="32"/>
          <w:lang w:eastAsia="zh-CN"/>
        </w:rPr>
        <w:t>〕</w:t>
      </w:r>
      <w:r>
        <w:rPr>
          <w:rFonts w:hint="eastAsia" w:ascii="方正仿宋_GBK" w:hAnsi="宋体" w:eastAsia="方正仿宋_GBK"/>
          <w:sz w:val="32"/>
          <w:szCs w:val="32"/>
        </w:rPr>
        <w:t>17号文件）的精神，推动企业节水技术进步，提高工业节水管理水平，同时促进城市科学用水、合理用水、文明用水，增强全民节约用水意识，根据建设部颁发的《节约型企业（单位）目标导则》、永川区节水型企业（单位）考核标准创建永川区“高耗水节水型企业”。</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根据重庆市节水型社会考核相关指标，永川区规划至2025年节水型企业（单位）覆盖率达50%以。采用以机关带动企业的模式，逐步推广节水型企业（单位）建设。全面完成机关、事业单位、学校、医院及国企单位节水型建设工作。节水型单位建设应从以下几个方面出发：</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6.6.2.2.1</w:t>
      </w:r>
      <w:r>
        <w:rPr>
          <w:rFonts w:hint="eastAsia" w:ascii="方正仿宋_GBK" w:hAnsi="宋体" w:eastAsia="方正仿宋_GBK"/>
          <w:sz w:val="32"/>
          <w:szCs w:val="32"/>
        </w:rPr>
        <w:t>加大节水宣传力度</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加大节水宣传力度，提高全民节水意识，在我单位机关醒目位置制作“节水、和谐、生态”为主题的宣传标语和宣传栏，在卫生间、洗手处张贴节约用水提示用语和宣传画，营造节水型单位的良好氛围。组织干部职工观看有关节约用水的宣传片和展览，积极参加节约用水的相关活动，增强干部职工的节约用水意识。采取多种形式，广泛宣传国家有关用水的法律法规和方针政策，介绍节水常识，倡导节水风尚。</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6.6.2.2.2</w:t>
      </w:r>
      <w:r>
        <w:rPr>
          <w:rFonts w:hint="eastAsia" w:ascii="方正仿宋_GBK" w:hAnsi="宋体" w:eastAsia="方正仿宋_GBK"/>
          <w:sz w:val="32"/>
          <w:szCs w:val="32"/>
        </w:rPr>
        <w:t>加强日常节水管理</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各部门完善节水管理，制定节水相关制度，制定用水定额，落实计划用水管理，科学制定节水指标，建立节水责任制和节水激励机制。加强用水设备日常维护和管理，及时维修损坏的供水管网和设施。定期检查更换水龙头、管道阀门、冲水阀等排、给水器具，防止跑冒滴漏，坚决杜绝“长流水”现象。</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6.6.2.2.3</w:t>
      </w:r>
      <w:r>
        <w:rPr>
          <w:rFonts w:hint="eastAsia" w:ascii="方正仿宋_GBK" w:hAnsi="宋体" w:eastAsia="方正仿宋_GBK"/>
          <w:sz w:val="32"/>
          <w:szCs w:val="32"/>
        </w:rPr>
        <w:t>推广节水技术和设施</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推广应用节水技术，改造水房、卫生间用水设施，逐步淘汰不符合节水标准的用水器具和设施，安装使用国家标准的节水型水龙头、节水型冲便器，加强水资源的循环利用，倡导干部职工二次用水，提高水资源的利用率，养成节约用水的习惯。</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hint="eastAsia" w:ascii="方正仿宋_GBK" w:hAnsi="宋体" w:eastAsia="方正仿宋_GBK"/>
          <w:sz w:val="32"/>
          <w:szCs w:val="32"/>
        </w:rPr>
      </w:pPr>
      <w:r>
        <w:rPr>
          <w:rFonts w:hint="eastAsia" w:ascii="方正仿宋_GBK" w:hAnsi="宋体" w:eastAsia="方正仿宋_GBK"/>
          <w:sz w:val="32"/>
          <w:szCs w:val="32"/>
        </w:rPr>
        <w:t>6.6.2.3加强控制污染物排放</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水利“十三五”工作开展以来，至2019年，永川区基本已完成相关企业排污论证、排污许可证发放等工作，相关企业均已按照行业排放标准达标排放。永川区现状工业废水排放达标率为100%。为响应节水型社会建设，根据“水十条”相关指示，永川区将从以下几方面进一步加强控制污染物排放：</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6.6.2.3.1</w:t>
      </w:r>
      <w:r>
        <w:rPr>
          <w:rFonts w:hint="eastAsia" w:ascii="方正仿宋_GBK" w:hAnsi="宋体" w:eastAsia="方正仿宋_GBK"/>
          <w:sz w:val="32"/>
          <w:szCs w:val="32"/>
        </w:rPr>
        <w:t>狠抓工业污染防治，取缔“十小”企业</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至2025年底，按照水污染防治法律法规要求，全部取缔不符合国家产业政策的小型造纸、制革、印染、染料、炼焦、炼硫、炼砷、炼油、电镀、农药等严重污染水环境的生产项目。</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6.6.2.3.2</w:t>
      </w:r>
      <w:r>
        <w:rPr>
          <w:rFonts w:hint="eastAsia" w:ascii="方正仿宋_GBK" w:hAnsi="宋体" w:eastAsia="方正仿宋_GBK"/>
          <w:sz w:val="32"/>
          <w:szCs w:val="32"/>
        </w:rPr>
        <w:t>专项整治十大重点行业</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制定造纸、焦化、氮肥、有色金属、印染、农副食品加工、原料药制造、制革、农药、电镀等行业专项治理方案，实施清洁化改造。新建、改建、扩建上述行业建设项目实行主要污染物排放等量或减量置换。造纸行业力争完成纸浆无元素氯漂白改造或采取其他低污染制浆技术，钢铁企业焦炉完成干熄焦技术改造，氮肥行业尿素生产完成工艺冷凝液水解解析技术改造，印染行业实施低排水染整工艺改造，制药（抗生素、维生素）行业实施绿色酶法生产技术改造，制革行业实施铬减量化和封闭循环利用技术改造。</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lang w:val="en-US" w:eastAsia="zh-CN"/>
        </w:rPr>
        <w:t>6.6.2.3.3</w:t>
      </w:r>
      <w:r>
        <w:rPr>
          <w:rFonts w:hint="eastAsia" w:ascii="方正仿宋_GBK" w:hAnsi="宋体" w:eastAsia="方正仿宋_GBK"/>
          <w:sz w:val="32"/>
          <w:szCs w:val="32"/>
        </w:rPr>
        <w:t>集中治理工业集聚区水污染</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强化经济技术开发区、高新技术产业开发区、出口加工区等工业集聚区污染治理。集聚区内工业废水必须经预处理达到集中处理要求，方可进入污水集中处理设施。新建、升级工业集聚区应同步规划、建设污水、垃圾集中处理等污染治理设施。</w:t>
      </w:r>
    </w:p>
    <w:p>
      <w:pPr>
        <w:pageBreakBefore w:val="0"/>
        <w:widowControl w:val="0"/>
        <w:kinsoku/>
        <w:wordWrap/>
        <w:overflowPunct/>
        <w:topLinePunct w:val="0"/>
        <w:autoSpaceDE/>
        <w:autoSpaceDN/>
        <w:bidi w:val="0"/>
        <w:adjustRightInd/>
        <w:snapToGrid w:val="0"/>
        <w:spacing w:beforeLines="0" w:afterLines="0" w:line="276" w:lineRule="auto"/>
        <w:ind w:firstLine="666" w:firstLineChars="200"/>
        <w:jc w:val="both"/>
        <w:textAlignment w:val="auto"/>
        <w:outlineLvl w:val="2"/>
        <w:rPr>
          <w:rFonts w:hint="eastAsia" w:ascii="方正仿宋_GBK" w:hAnsi="宋体" w:eastAsia="方正仿宋_GBK" w:cs="Times New Roman"/>
          <w:b/>
          <w:spacing w:val="6"/>
          <w:sz w:val="32"/>
          <w:szCs w:val="32"/>
          <w:lang w:val="en-US" w:eastAsia="zh-CN"/>
        </w:rPr>
      </w:pPr>
      <w:r>
        <w:rPr>
          <w:rFonts w:hint="eastAsia" w:ascii="方正仿宋_GBK" w:hAnsi="宋体" w:eastAsia="方正仿宋_GBK" w:cs="Times New Roman"/>
          <w:b/>
          <w:spacing w:val="6"/>
          <w:sz w:val="32"/>
          <w:szCs w:val="32"/>
          <w:lang w:val="en-US" w:eastAsia="zh-CN"/>
        </w:rPr>
        <w:t>6.6.3农业节水</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根据水利普查汇总成果，全区灌区总数1014个，2020年灌区总有效灌溉面积55.42万亩，灌区实际灌溉面积38.03万亩，总灌溉用水量13317.91万方，农田灌溉毛用水定额350.19m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/亩。</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0"/>
        <w:rPr>
          <w:rFonts w:hint="eastAsia" w:ascii="方正黑体_GBK" w:hAnsi="方正黑体_GBK" w:eastAsia="方正黑体_GBK" w:cs="方正黑体_GBK"/>
          <w:b w:val="0"/>
          <w:bCs w:val="0"/>
          <w:kern w:val="2"/>
          <w:sz w:val="32"/>
          <w:szCs w:val="32"/>
          <w:lang w:val="en-US" w:eastAsia="zh-CN" w:bidi="ar-SA"/>
        </w:rPr>
      </w:pPr>
      <w:r>
        <w:rPr>
          <w:rFonts w:hint="eastAsia" w:ascii="方正仿宋_GBK" w:hAnsi="宋体" w:eastAsia="方正仿宋_GBK"/>
          <w:sz w:val="32"/>
          <w:szCs w:val="32"/>
        </w:rPr>
        <w:t>永川区现有节水灌溉面积12.27万亩，其中渠道防渗9.67万亩，低压管道1.70万亩，喷灌0.9万亩。当年新增节水灌溉面积1万亩（均为小型灌区），当年节水灌溉工程总投资1300万元（均为小型灌区）。通过对跃进、双河口、上游、卫星灌区内实施水库管道输水，防水建筑整治，泵站以及量水设施建设以及升级改造，进一步增大永川区节水灌面。</w:t>
      </w:r>
      <w:bookmarkStart w:id="136" w:name="_Toc10826"/>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0"/>
        <w:rPr>
          <w:rFonts w:hint="eastAsia" w:ascii="方正黑体_GBK" w:hAnsi="方正黑体_GBK" w:eastAsia="方正黑体_GBK" w:cs="方正黑体_GBK"/>
          <w:b w:val="0"/>
          <w:bCs w:val="0"/>
          <w:kern w:val="2"/>
          <w:sz w:val="32"/>
          <w:szCs w:val="32"/>
          <w:lang w:val="en-US" w:eastAsia="zh-CN" w:bidi="ar-SA"/>
        </w:rPr>
      </w:pPr>
      <w:bookmarkStart w:id="137" w:name="_Toc1402211498"/>
      <w:bookmarkStart w:id="138" w:name="_Toc146219248"/>
      <w:bookmarkStart w:id="139" w:name="_Toc235288077"/>
      <w:r>
        <w:rPr>
          <w:rFonts w:hint="eastAsia" w:ascii="方正黑体_GBK" w:hAnsi="方正黑体_GBK" w:eastAsia="方正黑体_GBK" w:cs="方正黑体_GBK"/>
          <w:b w:val="0"/>
          <w:bCs w:val="0"/>
          <w:kern w:val="2"/>
          <w:sz w:val="32"/>
          <w:szCs w:val="32"/>
          <w:lang w:val="en-US" w:eastAsia="zh-CN" w:bidi="ar-SA"/>
        </w:rPr>
        <w:t>7实施效果评价</w:t>
      </w:r>
      <w:bookmarkEnd w:id="136"/>
      <w:bookmarkEnd w:id="137"/>
      <w:bookmarkEnd w:id="138"/>
      <w:bookmarkEnd w:id="139"/>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40" w:name="_Toc26592"/>
      <w:bookmarkStart w:id="141" w:name="_Toc1195891214"/>
      <w:bookmarkStart w:id="142" w:name="_Toc1238721946"/>
      <w:bookmarkStart w:id="143" w:name="_Toc1992161636"/>
      <w:r>
        <w:rPr>
          <w:rFonts w:hint="eastAsia" w:ascii="方正楷体_GBK" w:hAnsi="Times New Roman" w:eastAsia="方正楷体_GBK" w:cs="Times New Roman"/>
          <w:b w:val="0"/>
          <w:bCs w:val="0"/>
          <w:sz w:val="32"/>
          <w:szCs w:val="32"/>
          <w:lang w:val="en-US" w:eastAsia="zh-CN"/>
        </w:rPr>
        <w:t>7.1经济效益</w:t>
      </w:r>
      <w:bookmarkEnd w:id="140"/>
      <w:bookmarkEnd w:id="141"/>
      <w:bookmarkEnd w:id="142"/>
      <w:bookmarkEnd w:id="143"/>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实施的经济效果主要体现在水资源的重复利用上。永川区“十四五”节约用水规划的实施，节约了城市用水量，节省了水费及污水处理费，减少了供水、排水、污水处理等工程投资，具有明显的经济效益。</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其一，通过管网改造，可优化管径布设，替换老旧管道，从技术上可降低管道漏损率。同时对使用年代长久和地材质供水管网的更新改造，有效地降低供水中重金属和有害物质的二次污染，提高居民的生活用水质量。规划年生活供水量约为12014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，通过降低管网漏损率可节约供水量为1092万m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，按现行永川区的综合水价3.65元计算，年节水效益约为3985万元。</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其二，通过水平衡测试，节水器具工艺推广，永川区2025年万元工业增加值用水量降低至15m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，年节水量2386万m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，年节水效益约为8708万元。</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其三，再生水、雨水等年供水量达1460万m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，以每吨2元计算，较水厂供水可节约资金2409万元。</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综上所述，通过节水措施的实施，永川区年节水效益达15102万元。</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44" w:name="_Toc460404452"/>
      <w:bookmarkStart w:id="145" w:name="_Toc102938920"/>
      <w:bookmarkStart w:id="146" w:name="_Toc29663"/>
      <w:bookmarkStart w:id="147" w:name="_Toc302180747"/>
      <w:r>
        <w:rPr>
          <w:rFonts w:hint="eastAsia" w:ascii="方正楷体_GBK" w:hAnsi="Times New Roman" w:eastAsia="方正楷体_GBK" w:cs="Times New Roman"/>
          <w:b w:val="0"/>
          <w:bCs w:val="0"/>
          <w:sz w:val="32"/>
          <w:szCs w:val="32"/>
          <w:lang w:val="en-US" w:eastAsia="zh-CN"/>
        </w:rPr>
        <w:t>7.2社会效益</w:t>
      </w:r>
      <w:bookmarkEnd w:id="144"/>
      <w:bookmarkEnd w:id="145"/>
      <w:bookmarkEnd w:id="146"/>
      <w:bookmarkEnd w:id="147"/>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节水型社会建设的效益主要体现在社会效益上。编制永川区“十四五”节约用水规划，能有效促进永川区水利事业发展，提高水资源利用率，实现水资源与社会经济和谐发展。</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经预测，2025年永川地区生产总值约为1429亿元，地区用水总量约为40820万m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，万元GDP用水量为28.56m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/万元，符合节水型社会标准。</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《永川区“十四五”节约用水规划》的编制和实施，有利于永川水资源的合理利用和环境保护，优化和节省工程投资，以发挥最大的投资效益。</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节水工程是衡量社会现代化水平的标志之一，它是合理利用水资源、保护水资源和促进社会生态平衡的前提。规划的实施，将提高社会的文明程度，保证居民用上优质的自来水，有利于身体健康。同时，也将提高卫生水平，提高区县的知名度，改善投资环境，为建设永川区创造良好的外部条件。</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节水型社会的建设推动了工业技术改进和产业调整，促进经济增长方式的转变，使经济社会又好又快发展；通过节水型社会的制度建设，规范了用水秩序、促进了社会的健康稳定发展；还促进社会公众资源节约和环境保护艺术地提高，为实现节约型社会和环境友好型社会作出了贡献。</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48" w:name="_Toc10505"/>
      <w:bookmarkStart w:id="149" w:name="_Toc1571880992"/>
      <w:bookmarkStart w:id="150" w:name="_Toc1197600655"/>
      <w:bookmarkStart w:id="151" w:name="_Toc1709320844"/>
      <w:r>
        <w:rPr>
          <w:rFonts w:hint="eastAsia" w:ascii="方正楷体_GBK" w:hAnsi="Times New Roman" w:eastAsia="方正楷体_GBK" w:cs="Times New Roman"/>
          <w:b w:val="0"/>
          <w:bCs w:val="0"/>
          <w:sz w:val="32"/>
          <w:szCs w:val="32"/>
          <w:lang w:val="en-US" w:eastAsia="zh-CN"/>
        </w:rPr>
        <w:t>7.3生态效益</w:t>
      </w:r>
      <w:bookmarkEnd w:id="148"/>
      <w:bookmarkEnd w:id="149"/>
      <w:bookmarkEnd w:id="150"/>
      <w:bookmarkEnd w:id="151"/>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通过节水型社会建设降低了经济快速发展对水资源的过度需求，对永川区脆弱的水资源环境有一定的缓解作用。</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工业和生活节水工程实施后，提高了工业和生活水的重复利用率，减少了污水排放量，对水环境的污染程度也降低，有助于减小环境压力，能改善生态和环境现状。</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经调查，永川生活耗水率约为49%，工业耗水率约为63%。故年污水量约为11380万m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，较非节水减少排污2856万m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，减少了污水处理难度。</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同时通过对污水管网改造及再生水厂修建，可大幅度降低临江河等重要河道入河污染物，且再生水厂的修建，年可供水量增加1460万m</w:t>
      </w:r>
      <w:r>
        <w:rPr>
          <w:rFonts w:hint="eastAsia" w:ascii="方正仿宋_GBK" w:hAnsi="宋体" w:eastAsia="方正仿宋_GBK"/>
          <w:sz w:val="32"/>
          <w:szCs w:val="32"/>
          <w:vertAlign w:val="superscript"/>
        </w:rPr>
        <w:t>3</w:t>
      </w:r>
      <w:r>
        <w:rPr>
          <w:rFonts w:hint="eastAsia" w:ascii="方正仿宋_GBK" w:hAnsi="宋体" w:eastAsia="方正仿宋_GBK"/>
          <w:sz w:val="32"/>
          <w:szCs w:val="32"/>
        </w:rPr>
        <w:t>。该部分水不仅可作为环境、绿化用水，还可用于临江河生态补水，促进水环境良性发展。</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近几年来，随着永川区城市建设和社会经济急速发展，随着国际国内旅游业的发展，永川区引来了千载难逢的发展机遇，各项经济发展迅速，突显水资源供需矛盾，水资源紧缺的形式和存在的问题依然严峻，实现经济社会和生态的可持续发展已成为一条必然道路。必须通过城市节水，提高水资源的高效利用，使用非常规水资源替代部分优质水源，有效保护城市水资源，才能保证永川区生态、生活和生产的安全用水，满足永川区的可持续发展战略。</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永川区“十四五”节约用水规划》总体规划基本实施后，地表水资源将得到高效的合理利用。为永川区社会经济发展提供了强有力的水资源支撑，水环境总体上将得到很大的改善，从而会促进与水紧密相关的陆生态环境和水生态环境的改善，提高规划区的环境容量。</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0"/>
        <w:rPr>
          <w:rFonts w:hint="eastAsia" w:ascii="方正黑体_GBK" w:hAnsi="方正黑体_GBK" w:eastAsia="方正黑体_GBK" w:cs="方正黑体_GBK"/>
          <w:b w:val="0"/>
          <w:bCs w:val="0"/>
          <w:kern w:val="2"/>
          <w:sz w:val="32"/>
          <w:szCs w:val="32"/>
          <w:lang w:val="en-US" w:eastAsia="zh-CN" w:bidi="ar-SA"/>
        </w:rPr>
      </w:pPr>
      <w:bookmarkStart w:id="152" w:name="_Toc18375"/>
      <w:bookmarkStart w:id="153" w:name="_Toc1878301482"/>
      <w:bookmarkStart w:id="154" w:name="_Toc231658193"/>
      <w:bookmarkStart w:id="155" w:name="_Toc1962288411"/>
      <w:r>
        <w:rPr>
          <w:rFonts w:hint="eastAsia" w:ascii="方正黑体_GBK" w:hAnsi="方正黑体_GBK" w:eastAsia="方正黑体_GBK" w:cs="方正黑体_GBK"/>
          <w:b w:val="0"/>
          <w:bCs w:val="0"/>
          <w:kern w:val="2"/>
          <w:sz w:val="32"/>
          <w:szCs w:val="32"/>
          <w:lang w:val="en-US" w:eastAsia="zh-CN" w:bidi="ar-SA"/>
        </w:rPr>
        <w:t>8环境影响评价</w:t>
      </w:r>
      <w:bookmarkEnd w:id="152"/>
      <w:bookmarkEnd w:id="153"/>
      <w:bookmarkEnd w:id="154"/>
      <w:bookmarkEnd w:id="155"/>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56" w:name="_Toc5065"/>
      <w:bookmarkStart w:id="157" w:name="_Toc1916353033"/>
      <w:bookmarkStart w:id="158" w:name="_Toc512818489"/>
      <w:bookmarkStart w:id="159" w:name="_Toc1134966591"/>
      <w:r>
        <w:rPr>
          <w:rFonts w:hint="eastAsia" w:ascii="方正楷体_GBK" w:hAnsi="Times New Roman" w:eastAsia="方正楷体_GBK" w:cs="Times New Roman"/>
          <w:b w:val="0"/>
          <w:bCs w:val="0"/>
          <w:sz w:val="32"/>
          <w:szCs w:val="32"/>
          <w:lang w:val="en-US" w:eastAsia="zh-CN"/>
        </w:rPr>
        <w:t>8.1有利影响</w:t>
      </w:r>
      <w:bookmarkEnd w:id="156"/>
      <w:bookmarkEnd w:id="157"/>
      <w:bookmarkEnd w:id="158"/>
      <w:bookmarkEnd w:id="159"/>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通过节水型社会建设降低了经济快速发展对水资源的过度需求，对永川区脆弱的水资源环境有一定的缓解作用。</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现状水体中绝大多数有毒有害物质来源于生活污水、工业废水、建筑业和服务业废污水。废污水大量排放，是造成水环境状况日趋恶化，江河湖泊和地下水普遍遭到污染，水体使用功能下降的主要原因。</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废水处理和再生水回用等节水措施，可以有效地减少有毒有害污染物的排放，因此节水改造对保护生态环境、保障城镇和农村的生活饮用水安全关系重大。另外，通过对使用年代长久和地材质供水管网的更新改造，有效地降低供水中重金属和有害物质的二次污染，提高居民的生活用水质量。</w:t>
      </w:r>
    </w:p>
    <w:p>
      <w:pPr>
        <w:pageBreakBefore w:val="0"/>
        <w:kinsoku/>
        <w:wordWrap/>
        <w:overflowPunct/>
        <w:topLinePunct w:val="0"/>
        <w:autoSpaceDE/>
        <w:autoSpaceDN/>
        <w:bidi w:val="0"/>
        <w:adjustRightInd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节水型社会建设维持了基本的生态用水需求，提高了水资源承载能力和水环境承载能力，减少了排污水量，避免破坏现有的生态与环境，促进了水资源可持续利用，实现了城市与水的和谐。</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60" w:name="_Toc277830416"/>
      <w:bookmarkStart w:id="161" w:name="_Toc1003913134"/>
      <w:bookmarkStart w:id="162" w:name="_Toc2004591221"/>
      <w:bookmarkStart w:id="163" w:name="_Toc20030"/>
      <w:r>
        <w:rPr>
          <w:rFonts w:hint="eastAsia" w:ascii="方正楷体_GBK" w:hAnsi="Times New Roman" w:eastAsia="方正楷体_GBK" w:cs="Times New Roman"/>
          <w:b w:val="0"/>
          <w:bCs w:val="0"/>
          <w:sz w:val="32"/>
          <w:szCs w:val="32"/>
          <w:lang w:val="en-US" w:eastAsia="zh-CN"/>
        </w:rPr>
        <w:t>8.2不利影响</w:t>
      </w:r>
      <w:bookmarkEnd w:id="160"/>
      <w:bookmarkEnd w:id="161"/>
      <w:bookmarkEnd w:id="162"/>
      <w:bookmarkEnd w:id="163"/>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规划实施后，大量工程的建设，也可能对局部带来一些不利的环境影响。施工过程会对现状地面进行一定扰动，施工废水可能进入临江河等城区河道。工程施工期产生的“三废”及噪声污染等也将对当地居民生活、农业生产和交通等带来不同程度的干扰和暂时影响。</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64" w:name="_Toc15836"/>
      <w:bookmarkStart w:id="165" w:name="_Toc270335674"/>
      <w:bookmarkStart w:id="166" w:name="_Toc96433032"/>
      <w:bookmarkStart w:id="167" w:name="_Toc1674258836"/>
      <w:r>
        <w:rPr>
          <w:rFonts w:hint="eastAsia" w:ascii="方正楷体_GBK" w:hAnsi="Times New Roman" w:eastAsia="方正楷体_GBK" w:cs="Times New Roman"/>
          <w:b w:val="0"/>
          <w:bCs w:val="0"/>
          <w:sz w:val="32"/>
          <w:szCs w:val="32"/>
          <w:lang w:val="en-US" w:eastAsia="zh-CN"/>
        </w:rPr>
        <w:t>8.3减免不利影响对策措施</w:t>
      </w:r>
      <w:bookmarkEnd w:id="164"/>
      <w:bookmarkEnd w:id="165"/>
      <w:bookmarkEnd w:id="166"/>
      <w:bookmarkEnd w:id="167"/>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从总体上看，规划实施的正面影响远大于负面影响，从环境影响角度分析，不存在制约规划实施的环境因素。但大量点线工程建设，将对局部地区生态环境造成影响，加之全社会各类项目建设的累积影响，工程建设所引起的环境影响问题更不容忽视。因此，针对水利工程项目建设的环境影响问题，提出以下措施：</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一是坚持节约和绿色发展理念。加强用水总量控制，减少对水资源的过</w:t>
      </w:r>
      <w:r>
        <w:rPr>
          <w:rFonts w:hint="eastAsia" w:ascii="方正仿宋_GBK" w:hAnsi="宋体" w:eastAsia="方正仿宋_GBK"/>
          <w:sz w:val="32"/>
          <w:szCs w:val="32"/>
          <w:lang w:eastAsia="zh-CN"/>
        </w:rPr>
        <w:t>度</w:t>
      </w:r>
      <w:r>
        <w:rPr>
          <w:rFonts w:hint="eastAsia" w:ascii="方正仿宋_GBK" w:hAnsi="宋体" w:eastAsia="方正仿宋_GBK"/>
          <w:sz w:val="32"/>
          <w:szCs w:val="32"/>
        </w:rPr>
        <w:t>消耗。水资源开发利用要高度重视对河流生态环境和地下水系统的保护，水资源配置要保障河流的基本生态环境用水要求，维持河道和地下水的合理水位。水资源利用要按照减量化、再利用、资源化的原则，加快建立全社会的水资源高效循环利用体系，提高水资源的利用效率和效益，推进水资源可持续利用，努力形成节约水资源和保护水环境的产业结构、增长方式和消费模式，促进保护生态环境。</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二是认真落实工程建设环境影响评价制度。严格执行“三同时”制度。要高度重视水利工程建设的不利环境影响，已发加强相关规划环境影响评价，加强水利工程建设项目的水土保持及环境影响评价等前期工作，强化对工程规划、设计、建设、管理的全过程监督，严格落实“三同时”制度，加强水土保持措施和生态环境保护措施，最大程度地减免规划实施的不利环境影响。</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0"/>
        <w:rPr>
          <w:rFonts w:hint="eastAsia" w:ascii="方正黑体_GBK" w:hAnsi="方正黑体_GBK" w:eastAsia="方正黑体_GBK" w:cs="方正黑体_GBK"/>
          <w:b w:val="0"/>
          <w:bCs w:val="0"/>
          <w:kern w:val="2"/>
          <w:sz w:val="32"/>
          <w:szCs w:val="32"/>
          <w:lang w:val="en-US" w:eastAsia="zh-CN" w:bidi="ar-SA"/>
        </w:rPr>
      </w:pPr>
      <w:r>
        <w:rPr>
          <w:rFonts w:hint="eastAsia" w:ascii="方正仿宋_GBK" w:hAnsi="宋体" w:eastAsia="方正仿宋_GBK"/>
          <w:sz w:val="32"/>
          <w:szCs w:val="32"/>
        </w:rPr>
        <w:t>三是妥善做好移民安置工作。坚持节约集约用地，切实做好工程征地补偿、搬迁安置和水库移民后期扶持工作，确保被征地居民生活水平逐步提高，保障其合法权益，维护社会稳定。以人为本，科学规划，反复论证，编制切实可行的移民安置规划，妥善安置，保护环境。</w:t>
      </w:r>
      <w:bookmarkStart w:id="168" w:name="_Toc25277"/>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0"/>
        <w:rPr>
          <w:rFonts w:hint="eastAsia" w:ascii="方正黑体_GBK" w:hAnsi="方正黑体_GBK" w:eastAsia="方正黑体_GBK" w:cs="方正黑体_GBK"/>
          <w:b w:val="0"/>
          <w:bCs w:val="0"/>
          <w:kern w:val="2"/>
          <w:sz w:val="32"/>
          <w:szCs w:val="32"/>
          <w:lang w:val="en-US" w:eastAsia="zh-CN" w:bidi="ar-SA"/>
        </w:rPr>
      </w:pPr>
      <w:bookmarkStart w:id="169" w:name="_Toc1591391607"/>
      <w:bookmarkStart w:id="170" w:name="_Toc471104335"/>
      <w:bookmarkStart w:id="171" w:name="_Toc751593154"/>
      <w:r>
        <w:rPr>
          <w:rFonts w:hint="eastAsia" w:ascii="方正黑体_GBK" w:hAnsi="方正黑体_GBK" w:eastAsia="方正黑体_GBK" w:cs="方正黑体_GBK"/>
          <w:b w:val="0"/>
          <w:bCs w:val="0"/>
          <w:kern w:val="2"/>
          <w:sz w:val="32"/>
          <w:szCs w:val="32"/>
          <w:lang w:val="en-US" w:eastAsia="zh-CN" w:bidi="ar-SA"/>
        </w:rPr>
        <w:t>9保障措施</w:t>
      </w:r>
      <w:bookmarkEnd w:id="168"/>
      <w:bookmarkEnd w:id="169"/>
      <w:bookmarkEnd w:id="170"/>
      <w:bookmarkEnd w:id="171"/>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城市节水作为建设节水型社会的重要组成部分，应列入国民经济和社会发展统计范围。节水型社会建设是一个复杂的系统工程，也是一个复杂的社会工程，需要公众的努力，更需要政府的主导，其中制度建设是重要的手段之一。如何推进节水制度建设，建立并完善政府调控、市场引导、公众参与的节水型社会管理机制，是面临的一项重要任务。在节水制度中，既要达到减少、杜绝水资源的浪费与不合理使用的目的，同时也要有利于促进永川区经济社会的发展。因此，在管理制度设计上应当松紧适度、宽严得当，争取通过科学合理的制度促进经济社会更快更好地发展，既要达到节约用水的目的，又要兼顾发展经济和提高生活质量的需要。</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72" w:name="_Toc158117043"/>
      <w:bookmarkStart w:id="173" w:name="_Toc1889897031"/>
      <w:bookmarkStart w:id="174" w:name="_Toc478902902"/>
      <w:bookmarkStart w:id="175" w:name="_Toc26330"/>
      <w:r>
        <w:rPr>
          <w:rFonts w:hint="eastAsia" w:ascii="方正楷体_GBK" w:hAnsi="Times New Roman" w:eastAsia="方正楷体_GBK" w:cs="Times New Roman"/>
          <w:b w:val="0"/>
          <w:bCs w:val="0"/>
          <w:sz w:val="32"/>
          <w:szCs w:val="32"/>
          <w:lang w:val="en-US" w:eastAsia="zh-CN"/>
        </w:rPr>
        <w:t>9.1分解责任，落实任务</w:t>
      </w:r>
      <w:bookmarkEnd w:id="172"/>
      <w:bookmarkEnd w:id="173"/>
      <w:bookmarkEnd w:id="174"/>
      <w:bookmarkEnd w:id="175"/>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健全永川区节水型社会建设领导小组，由区政府主要领导任组长、主管副区长任副组长，水利、发改、环保、城建、规划、农业等部门主要领导为成员。区节约用水管理办公室和水务部门要将节水型社会建设的具体任务细化分解，明确各部门、各单位和节水型建设管理机构的目标责任制，责任落实到岗。领导小组各成员单位结合本部门职责，科学分工，围绕中心，集中各部门的业务专长，形成齐抓共管的合力，确保各项目标任务落实到位。</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76" w:name="_Toc1288756417"/>
      <w:bookmarkStart w:id="177" w:name="_Toc22646"/>
      <w:bookmarkStart w:id="178" w:name="_Toc1482194320"/>
      <w:bookmarkStart w:id="179" w:name="_Toc1538640676"/>
      <w:r>
        <w:rPr>
          <w:rFonts w:hint="eastAsia" w:ascii="方正楷体_GBK" w:hAnsi="Times New Roman" w:eastAsia="方正楷体_GBK" w:cs="Times New Roman"/>
          <w:b w:val="0"/>
          <w:bCs w:val="0"/>
          <w:sz w:val="32"/>
          <w:szCs w:val="32"/>
          <w:lang w:val="en-US" w:eastAsia="zh-CN"/>
        </w:rPr>
        <w:t>9.2政策扶持，促进节水</w:t>
      </w:r>
      <w:bookmarkEnd w:id="176"/>
      <w:bookmarkEnd w:id="177"/>
      <w:bookmarkEnd w:id="178"/>
      <w:bookmarkEnd w:id="179"/>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将节水型社会建设纳入法制化、规范化的轨道。加大有利于节水的经济政策支持力度，通过财政支持和税收优惠及其他优惠措施，支持工业企业节水改造，鼓励居民家庭使用节水型器具，保障节水型社会建设成效与目标的实现。对节水设备和产品，在投资和税收上采取优惠政策；鼓励开发和利用再生污水资源，制定优惠政策，降低污水处理成本；充分运用价格调节机制，促进节水和水资源重复利用。</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80" w:name="_Toc1286073712"/>
      <w:bookmarkStart w:id="181" w:name="_Toc18240"/>
      <w:bookmarkStart w:id="182" w:name="_Toc178163390"/>
      <w:bookmarkStart w:id="183" w:name="_Toc1069027595"/>
      <w:r>
        <w:rPr>
          <w:rFonts w:hint="eastAsia" w:ascii="方正楷体_GBK" w:hAnsi="Times New Roman" w:eastAsia="方正楷体_GBK" w:cs="Times New Roman"/>
          <w:b w:val="0"/>
          <w:bCs w:val="0"/>
          <w:sz w:val="32"/>
          <w:szCs w:val="32"/>
          <w:lang w:val="en-US" w:eastAsia="zh-CN"/>
        </w:rPr>
        <w:t>9.3多元投入，拓展融资</w:t>
      </w:r>
      <w:bookmarkEnd w:id="180"/>
      <w:bookmarkEnd w:id="181"/>
      <w:bookmarkEnd w:id="182"/>
      <w:bookmarkEnd w:id="183"/>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加强节水型社会建设的前期规划，制度建设以及水资源管理设施建设。逐步建立多层次、多渠道、多元化的节水型社会建设投资体制,积极争取国家和重庆市对节水型社会建设相关项目的投入，探索市场融资方式，鼓励民间投资，拓宽融资渠道。</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84" w:name="_Toc806560671"/>
      <w:bookmarkStart w:id="185" w:name="_Toc1197131263"/>
      <w:bookmarkStart w:id="186" w:name="_Toc14263"/>
      <w:bookmarkStart w:id="187" w:name="_Toc1049016756"/>
      <w:r>
        <w:rPr>
          <w:rFonts w:hint="eastAsia" w:ascii="方正楷体_GBK" w:hAnsi="Times New Roman" w:eastAsia="方正楷体_GBK" w:cs="Times New Roman"/>
          <w:b w:val="0"/>
          <w:bCs w:val="0"/>
          <w:sz w:val="32"/>
          <w:szCs w:val="32"/>
          <w:lang w:val="en-US" w:eastAsia="zh-CN"/>
        </w:rPr>
        <w:t>9.4加强指导，督促检查</w:t>
      </w:r>
      <w:bookmarkEnd w:id="184"/>
      <w:bookmarkEnd w:id="185"/>
      <w:bookmarkEnd w:id="186"/>
      <w:bookmarkEnd w:id="187"/>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抓紧制定节水型企业、节水型产品、器具标准以及推广节水型产品、器具强制性标准。进一步强化水平衡测试工作，引导用水户使用节水工艺、节水技术和节水器具。加强检查监督，保证节水型社会建设的有计划、分阶段实施。</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88" w:name="_Toc104850685"/>
      <w:bookmarkStart w:id="189" w:name="_Toc1761234139"/>
      <w:bookmarkStart w:id="190" w:name="_Toc22719"/>
      <w:bookmarkStart w:id="191" w:name="_Toc1356824774"/>
      <w:r>
        <w:rPr>
          <w:rFonts w:hint="eastAsia" w:ascii="方正楷体_GBK" w:hAnsi="Times New Roman" w:eastAsia="方正楷体_GBK" w:cs="Times New Roman"/>
          <w:b w:val="0"/>
          <w:bCs w:val="0"/>
          <w:sz w:val="32"/>
          <w:szCs w:val="32"/>
          <w:lang w:val="en-US" w:eastAsia="zh-CN"/>
        </w:rPr>
        <w:t>9.5科技创新，提高水平</w:t>
      </w:r>
      <w:bookmarkEnd w:id="188"/>
      <w:bookmarkEnd w:id="189"/>
      <w:bookmarkEnd w:id="190"/>
      <w:bookmarkEnd w:id="191"/>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加强科技队伍的建设，加大节水型社会科技创新力度，在基础理论和实用技术等方面开展攻关，解决节水型社会建设中的各类问题。聘请相关专家，为制定节水型社会建设的总体规划、政策措施和重大技术问题提供技术支持和指导。同时加强与国内研究机构及其他试点省市的交流合作，通过发布目录、组织现场会、举办展览、技术交流等方式，加快先进成熟技术的推广应用。</w:t>
      </w:r>
    </w:p>
    <w:p>
      <w:pPr>
        <w:pageBreakBefore w:val="0"/>
        <w:widowControl w:val="0"/>
        <w:kinsoku/>
        <w:wordWrap/>
        <w:overflowPunct/>
        <w:topLinePunct w:val="0"/>
        <w:autoSpaceDE/>
        <w:autoSpaceDN/>
        <w:bidi w:val="0"/>
        <w:adjustRightInd/>
        <w:snapToGrid w:val="0"/>
        <w:spacing w:before="0" w:beforeLines="0" w:after="0" w:afterLines="0" w:line="276" w:lineRule="auto"/>
        <w:ind w:firstLine="640" w:firstLineChars="200"/>
        <w:jc w:val="both"/>
        <w:textAlignment w:val="auto"/>
        <w:outlineLvl w:val="1"/>
        <w:rPr>
          <w:rFonts w:hint="eastAsia" w:ascii="方正楷体_GBK" w:hAnsi="Times New Roman" w:eastAsia="方正楷体_GBK" w:cs="Times New Roman"/>
          <w:b w:val="0"/>
          <w:bCs w:val="0"/>
          <w:sz w:val="32"/>
          <w:szCs w:val="32"/>
          <w:lang w:val="en-US" w:eastAsia="zh-CN"/>
        </w:rPr>
      </w:pPr>
      <w:bookmarkStart w:id="192" w:name="_Toc704467039"/>
      <w:bookmarkStart w:id="193" w:name="_Toc25481"/>
      <w:bookmarkStart w:id="194" w:name="_Toc1070535865"/>
      <w:bookmarkStart w:id="195" w:name="_Toc1000212528"/>
      <w:r>
        <w:rPr>
          <w:rFonts w:hint="eastAsia" w:ascii="方正楷体_GBK" w:hAnsi="Times New Roman" w:eastAsia="方正楷体_GBK" w:cs="Times New Roman"/>
          <w:b w:val="0"/>
          <w:bCs w:val="0"/>
          <w:sz w:val="32"/>
          <w:szCs w:val="32"/>
          <w:lang w:val="en-US" w:eastAsia="zh-CN"/>
        </w:rPr>
        <w:t>9.6宣传教育，自觉节水</w:t>
      </w:r>
      <w:bookmarkEnd w:id="192"/>
      <w:bookmarkEnd w:id="193"/>
      <w:bookmarkEnd w:id="194"/>
      <w:bookmarkEnd w:id="195"/>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加强宣传和教育，提高全民的水危机意识与节水意识，鼓励公众参与节水型城市建设。做好水资源节约的教育培训工作，各有关部门将水资源节约纳入中小学教育、高等教育、职业教育和技术培训，加强水资源节约教育。利用广播、电视、报刊、互联网等多种形式，广泛、深入、持久地开展节水宣传，形成人人节约用水并积极主动参与节水型社会建设的良好氛围。加强舆论监督，建立健全举报机制，对浪费水、破坏节水设施的不良行为实施严惩，形成“节约光荣，浪费可耻”的良好社会风尚。</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提高公众的节水意识是节约用水的重要途径，在日常的节水管理中，应大力宣传新《水法》，特别是其中节水的内容，注重加强企业领导和职工对水资源的忧患意识。</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继续深入的进行节水宣传教育，增强全民节水意识，在开展“世界水日”和“节水宣传周”的基础上，各级政府及宣传部门应在全社会开展保护水、爱惜水、依法管水、科学用水、节约用水及防治污水等一系列水环境和生态环境方面的广泛持久的宣传。坚持宣传的系统性、广泛性、经常性、针对性和多样性，提高全民对节水长期性和紧迫性的认识。</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hint="eastAsia" w:ascii="方正仿宋_GBK" w:hAnsi="宋体" w:eastAsia="方正仿宋_GBK"/>
          <w:sz w:val="32"/>
          <w:szCs w:val="32"/>
        </w:rPr>
        <w:t>建立节约用水社会监督机制和网络：各街道、居委会、企业、单位等设立节水监督员，负责日常监督其辖区内是否有偷、漏水、浪费用水现象。对于违反节水法规的行为和漏水现象及时向有关部门举办、反映；对于浪费用水和不合理用水的行为要当即制止，并进行宣传教育。要适时宣传、贯彻党中央、国务院、市政府及有关节水管理部门关于节水工作的指示、精神、举措等，形成广泛、周密的社会监督网。</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ascii="方正仿宋_GBK" w:hAnsi="宋体" w:eastAsia="方正仿宋_GBK"/>
          <w:sz w:val="32"/>
          <w:szCs w:val="32"/>
        </w:rPr>
      </w:pPr>
      <w:r>
        <w:rPr>
          <w:rFonts w:ascii="方正仿宋_GBK" w:hAnsi="宋体" w:eastAsia="方正仿宋_GBK"/>
          <w:sz w:val="32"/>
          <w:szCs w:val="32"/>
        </w:rPr>
        <w:t>设立免费的节水热线，热线24小时开通（可与供水企业热线并网），及时接受市民关于偷、漏水等节水违法行为的举报并及时处理解决，同时对于市民提出的各类节水建议、方法及发明的节水专利等进行备案，并报有关部门参考。</w:t>
      </w:r>
    </w:p>
    <w:p>
      <w:pPr>
        <w:pageBreakBefore w:val="0"/>
        <w:kinsoku/>
        <w:wordWrap/>
        <w:overflowPunct/>
        <w:topLinePunct w:val="0"/>
        <w:autoSpaceDE/>
        <w:autoSpaceDN/>
        <w:bidi w:val="0"/>
        <w:snapToGrid w:val="0"/>
        <w:spacing w:beforeLines="0" w:afterLines="0" w:line="276" w:lineRule="auto"/>
        <w:ind w:firstLine="640" w:firstLineChars="200"/>
        <w:jc w:val="both"/>
        <w:textAlignment w:val="auto"/>
        <w:outlineLvl w:val="9"/>
        <w:rPr>
          <w:rFonts w:hint="eastAsia" w:ascii="方正仿宋_GBK" w:hAnsi="宋体" w:eastAsia="方正仿宋_GBK"/>
          <w:sz w:val="30"/>
          <w:szCs w:val="30"/>
        </w:rPr>
      </w:pPr>
      <w:r>
        <w:rPr>
          <w:rFonts w:ascii="方正仿宋_GBK" w:hAnsi="宋体" w:eastAsia="方正仿宋_GBK"/>
          <w:sz w:val="32"/>
          <w:szCs w:val="32"/>
        </w:rPr>
        <w:t>加强节水的日常宣传教育，通过新闻媒体、广告等多种渠道增强公众的节水意识，出版多媒体节水宣传资料；向中小学教材中增加节水的内容，在市民中牢固确立节水就是节约资源的观念；在星级宾馆放置节水宣传标牌，要将</w:t>
      </w:r>
      <w:r>
        <w:rPr>
          <w:rFonts w:hint="eastAsia" w:ascii="方正仿宋_GBK" w:hAnsi="宋体" w:eastAsia="方正仿宋_GBK"/>
          <w:sz w:val="32"/>
          <w:szCs w:val="32"/>
        </w:rPr>
        <w:t>节约用水作为一种生活习惯坚持，作为一种社会公德来提倡，作为一项基本国策来贯彻落实。</w:t>
      </w:r>
    </w:p>
    <w:p>
      <w:pPr>
        <w:pageBreakBefore w:val="0"/>
        <w:kinsoku/>
        <w:wordWrap/>
        <w:overflowPunct/>
        <w:topLinePunct w:val="0"/>
        <w:autoSpaceDE/>
        <w:autoSpaceDN/>
        <w:bidi w:val="0"/>
        <w:spacing w:line="276" w:lineRule="auto"/>
        <w:ind w:firstLine="600" w:firstLineChars="200"/>
        <w:jc w:val="both"/>
        <w:textAlignment w:val="auto"/>
        <w:outlineLvl w:val="9"/>
        <w:rPr>
          <w:rFonts w:hint="eastAsia" w:ascii="方正仿宋_GBK" w:hAnsi="宋体" w:eastAsia="方正仿宋_GBK"/>
          <w:sz w:val="30"/>
          <w:szCs w:val="30"/>
        </w:rPr>
      </w:pPr>
    </w:p>
    <w:p>
      <w:pPr>
        <w:pageBreakBefore w:val="0"/>
        <w:kinsoku/>
        <w:wordWrap/>
        <w:overflowPunct/>
        <w:topLinePunct w:val="0"/>
        <w:autoSpaceDE/>
        <w:autoSpaceDN/>
        <w:bidi w:val="0"/>
        <w:spacing w:line="276" w:lineRule="auto"/>
        <w:ind w:firstLine="0" w:firstLineChars="0"/>
        <w:jc w:val="both"/>
        <w:textAlignment w:val="auto"/>
        <w:outlineLvl w:val="9"/>
        <w:rPr>
          <w:rFonts w:hint="eastAsia" w:ascii="方正仿宋_GBK" w:hAnsi="宋体" w:eastAsia="方正仿宋_GBK"/>
          <w:sz w:val="30"/>
          <w:szCs w:val="30"/>
        </w:rPr>
        <w:sectPr>
          <w:headerReference r:id="rId5" w:type="default"/>
          <w:footerReference r:id="rId6" w:type="default"/>
          <w:pgSz w:w="11906" w:h="16838"/>
          <w:pgMar w:top="2098" w:right="1474" w:bottom="1984" w:left="1587" w:header="851" w:footer="1474" w:gutter="0"/>
          <w:pgNumType w:fmt="numberInDash"/>
          <w:cols w:space="720" w:num="1"/>
          <w:rtlGutter w:val="0"/>
          <w:docGrid w:type="lines" w:linePitch="319" w:charSpace="0"/>
        </w:sectPr>
      </w:pPr>
    </w:p>
    <w:p>
      <w:pPr>
        <w:pageBreakBefore w:val="0"/>
        <w:kinsoku/>
        <w:wordWrap/>
        <w:overflowPunct/>
        <w:topLinePunct w:val="0"/>
        <w:autoSpaceDE/>
        <w:autoSpaceDN/>
        <w:bidi w:val="0"/>
        <w:spacing w:line="276" w:lineRule="auto"/>
        <w:ind w:firstLine="0" w:firstLineChars="0"/>
        <w:jc w:val="both"/>
        <w:textAlignment w:val="auto"/>
        <w:outlineLvl w:val="1"/>
        <w:rPr>
          <w:rFonts w:hint="eastAsia" w:ascii="方正仿宋_GBK" w:hAnsi="方正仿宋_GBK" w:eastAsia="方正仿宋_GBK" w:cs="方正仿宋_GBK"/>
          <w:sz w:val="32"/>
          <w:szCs w:val="32"/>
        </w:rPr>
      </w:pPr>
      <w:bookmarkStart w:id="196" w:name="_Toc1306516652"/>
      <w:bookmarkStart w:id="197" w:name="_Toc793760176"/>
      <w:bookmarkStart w:id="198" w:name="_Toc533624910"/>
      <w:r>
        <w:rPr>
          <w:rFonts w:hint="eastAsia" w:ascii="方正仿宋_GBK" w:hAnsi="方正仿宋_GBK" w:eastAsia="方正仿宋_GBK" w:cs="方正仿宋_GBK"/>
          <w:sz w:val="32"/>
          <w:szCs w:val="32"/>
        </w:rPr>
        <w:t>附表1</w:t>
      </w:r>
    </w:p>
    <w:p>
      <w:pPr>
        <w:pageBreakBefore w:val="0"/>
        <w:kinsoku/>
        <w:wordWrap/>
        <w:overflowPunct/>
        <w:topLinePunct w:val="0"/>
        <w:autoSpaceDE/>
        <w:autoSpaceDN/>
        <w:bidi w:val="0"/>
        <w:spacing w:line="276" w:lineRule="auto"/>
        <w:ind w:firstLine="0" w:firstLineChars="0"/>
        <w:jc w:val="center"/>
        <w:textAlignment w:val="auto"/>
        <w:outlineLvl w:val="1"/>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永川区“十四五”供水管网改造工程</w:t>
      </w:r>
      <w:bookmarkEnd w:id="196"/>
      <w:bookmarkEnd w:id="197"/>
      <w:bookmarkEnd w:id="198"/>
    </w:p>
    <w:tbl>
      <w:tblPr>
        <w:tblStyle w:val="17"/>
        <w:tblW w:w="5000" w:type="pct"/>
        <w:jc w:val="center"/>
        <w:tblLayout w:type="fixed"/>
        <w:tblCellMar>
          <w:top w:w="0" w:type="dxa"/>
          <w:left w:w="108" w:type="dxa"/>
          <w:bottom w:w="0" w:type="dxa"/>
          <w:right w:w="108" w:type="dxa"/>
        </w:tblCellMar>
      </w:tblPr>
      <w:tblGrid>
        <w:gridCol w:w="488"/>
        <w:gridCol w:w="649"/>
        <w:gridCol w:w="1816"/>
        <w:gridCol w:w="1455"/>
        <w:gridCol w:w="2308"/>
        <w:gridCol w:w="911"/>
        <w:gridCol w:w="911"/>
        <w:gridCol w:w="780"/>
        <w:gridCol w:w="778"/>
        <w:gridCol w:w="649"/>
        <w:gridCol w:w="646"/>
        <w:gridCol w:w="653"/>
        <w:gridCol w:w="929"/>
      </w:tblGrid>
      <w:tr>
        <w:tblPrEx>
          <w:tblCellMar>
            <w:top w:w="0" w:type="dxa"/>
            <w:left w:w="108" w:type="dxa"/>
            <w:bottom w:w="0" w:type="dxa"/>
            <w:right w:w="108" w:type="dxa"/>
          </w:tblCellMar>
        </w:tblPrEx>
        <w:trPr>
          <w:trHeight w:val="20" w:hRule="atLeast"/>
          <w:jc w:val="center"/>
        </w:trPr>
        <w:tc>
          <w:tcPr>
            <w:tcW w:w="188"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序号</w:t>
            </w:r>
          </w:p>
        </w:tc>
        <w:tc>
          <w:tcPr>
            <w:tcW w:w="250"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项目类别</w:t>
            </w:r>
          </w:p>
        </w:tc>
        <w:tc>
          <w:tcPr>
            <w:tcW w:w="699"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项目名称</w:t>
            </w:r>
          </w:p>
        </w:tc>
        <w:tc>
          <w:tcPr>
            <w:tcW w:w="560"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项目所在地</w:t>
            </w:r>
          </w:p>
        </w:tc>
        <w:tc>
          <w:tcPr>
            <w:tcW w:w="889"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主要建设内容</w:t>
            </w:r>
          </w:p>
        </w:tc>
        <w:tc>
          <w:tcPr>
            <w:tcW w:w="35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hint="eastAsia" w:ascii="方正仿宋_GBK" w:hAnsi="宋体" w:eastAsia="方正仿宋_GBK" w:cs="宋体"/>
                <w:kern w:val="0"/>
                <w:szCs w:val="21"/>
              </w:rPr>
            </w:pPr>
            <w:r>
              <w:rPr>
                <w:rFonts w:hint="eastAsia" w:ascii="方正仿宋_GBK" w:hAnsi="宋体" w:eastAsia="方正仿宋_GBK" w:cs="宋体"/>
                <w:kern w:val="0"/>
                <w:szCs w:val="21"/>
              </w:rPr>
              <w:t>建设</w:t>
            </w:r>
          </w:p>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时限</w:t>
            </w:r>
          </w:p>
        </w:tc>
        <w:tc>
          <w:tcPr>
            <w:tcW w:w="35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hint="eastAsia" w:ascii="方正仿宋_GBK" w:hAnsi="宋体" w:eastAsia="方正仿宋_GBK" w:cs="宋体"/>
                <w:kern w:val="0"/>
                <w:szCs w:val="21"/>
              </w:rPr>
            </w:pPr>
            <w:r>
              <w:rPr>
                <w:rFonts w:hint="eastAsia" w:ascii="方正仿宋_GBK" w:hAnsi="宋体" w:eastAsia="方正仿宋_GBK" w:cs="宋体"/>
                <w:kern w:val="0"/>
                <w:szCs w:val="21"/>
              </w:rPr>
              <w:t>负责</w:t>
            </w:r>
          </w:p>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部门</w:t>
            </w:r>
          </w:p>
        </w:tc>
        <w:tc>
          <w:tcPr>
            <w:tcW w:w="300" w:type="pct"/>
            <w:tcBorders>
              <w:top w:val="single" w:color="auto" w:sz="4" w:space="0"/>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节水量</w:t>
            </w:r>
          </w:p>
        </w:tc>
        <w:tc>
          <w:tcPr>
            <w:tcW w:w="299" w:type="pct"/>
            <w:tcBorders>
              <w:top w:val="single" w:color="auto" w:sz="4" w:space="0"/>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总投资</w:t>
            </w:r>
          </w:p>
        </w:tc>
        <w:tc>
          <w:tcPr>
            <w:tcW w:w="750" w:type="pct"/>
            <w:gridSpan w:val="3"/>
            <w:tcBorders>
              <w:top w:val="single" w:color="auto" w:sz="4" w:space="0"/>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投资渠道</w:t>
            </w:r>
          </w:p>
        </w:tc>
        <w:tc>
          <w:tcPr>
            <w:tcW w:w="358"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备注</w:t>
            </w:r>
          </w:p>
        </w:tc>
      </w:tr>
      <w:tr>
        <w:tblPrEx>
          <w:tblCellMar>
            <w:top w:w="0" w:type="dxa"/>
            <w:left w:w="108" w:type="dxa"/>
            <w:bottom w:w="0" w:type="dxa"/>
            <w:right w:w="108" w:type="dxa"/>
          </w:tblCellMar>
        </w:tblPrEx>
        <w:trPr>
          <w:trHeight w:val="20" w:hRule="atLeast"/>
          <w:jc w:val="center"/>
        </w:trPr>
        <w:tc>
          <w:tcPr>
            <w:tcW w:w="188"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left"/>
              <w:rPr>
                <w:rFonts w:ascii="方正仿宋_GBK" w:hAnsi="宋体" w:eastAsia="方正仿宋_GBK" w:cs="宋体"/>
                <w:kern w:val="0"/>
                <w:szCs w:val="21"/>
              </w:rPr>
            </w:pPr>
          </w:p>
        </w:tc>
        <w:tc>
          <w:tcPr>
            <w:tcW w:w="250"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left"/>
              <w:rPr>
                <w:rFonts w:ascii="方正仿宋_GBK" w:hAnsi="宋体" w:eastAsia="方正仿宋_GBK" w:cs="宋体"/>
                <w:kern w:val="0"/>
                <w:szCs w:val="21"/>
              </w:rPr>
            </w:pPr>
          </w:p>
        </w:tc>
        <w:tc>
          <w:tcPr>
            <w:tcW w:w="699"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left"/>
              <w:rPr>
                <w:rFonts w:ascii="方正仿宋_GBK" w:hAnsi="宋体" w:eastAsia="方正仿宋_GBK" w:cs="宋体"/>
                <w:kern w:val="0"/>
                <w:szCs w:val="21"/>
              </w:rPr>
            </w:pPr>
          </w:p>
        </w:tc>
        <w:tc>
          <w:tcPr>
            <w:tcW w:w="560"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left"/>
              <w:rPr>
                <w:rFonts w:ascii="方正仿宋_GBK" w:hAnsi="宋体" w:eastAsia="方正仿宋_GBK" w:cs="宋体"/>
                <w:kern w:val="0"/>
                <w:szCs w:val="21"/>
              </w:rPr>
            </w:pPr>
          </w:p>
        </w:tc>
        <w:tc>
          <w:tcPr>
            <w:tcW w:w="889"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both"/>
              <w:rPr>
                <w:rFonts w:ascii="方正仿宋_GBK" w:hAnsi="宋体" w:eastAsia="方正仿宋_GBK" w:cs="宋体"/>
                <w:kern w:val="0"/>
                <w:szCs w:val="21"/>
              </w:rPr>
            </w:pPr>
          </w:p>
        </w:tc>
        <w:tc>
          <w:tcPr>
            <w:tcW w:w="3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left"/>
              <w:rPr>
                <w:rFonts w:ascii="方正仿宋_GBK" w:hAnsi="宋体" w:eastAsia="方正仿宋_GBK" w:cs="宋体"/>
                <w:kern w:val="0"/>
                <w:szCs w:val="21"/>
              </w:rPr>
            </w:pPr>
          </w:p>
        </w:tc>
        <w:tc>
          <w:tcPr>
            <w:tcW w:w="3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left"/>
              <w:rPr>
                <w:rFonts w:ascii="方正仿宋_GBK" w:hAnsi="宋体" w:eastAsia="方正仿宋_GBK" w:cs="宋体"/>
                <w:kern w:val="0"/>
                <w:szCs w:val="21"/>
              </w:rPr>
            </w:pPr>
          </w:p>
        </w:tc>
        <w:tc>
          <w:tcPr>
            <w:tcW w:w="30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万m</w:t>
            </w:r>
            <w:r>
              <w:rPr>
                <w:rFonts w:hint="eastAsia" w:ascii="方正仿宋_GBK" w:hAnsi="宋体" w:eastAsia="方正仿宋_GBK" w:cs="宋体"/>
                <w:kern w:val="0"/>
                <w:szCs w:val="21"/>
                <w:vertAlign w:val="superscript"/>
              </w:rPr>
              <w:t>3</w:t>
            </w:r>
          </w:p>
        </w:tc>
        <w:tc>
          <w:tcPr>
            <w:tcW w:w="299"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万元</w:t>
            </w:r>
          </w:p>
        </w:tc>
        <w:tc>
          <w:tcPr>
            <w:tcW w:w="25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企业</w:t>
            </w:r>
          </w:p>
        </w:tc>
        <w:tc>
          <w:tcPr>
            <w:tcW w:w="248"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地方</w:t>
            </w:r>
          </w:p>
        </w:tc>
        <w:tc>
          <w:tcPr>
            <w:tcW w:w="2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国家</w:t>
            </w:r>
          </w:p>
        </w:tc>
        <w:tc>
          <w:tcPr>
            <w:tcW w:w="358"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left"/>
              <w:rPr>
                <w:rFonts w:ascii="方正仿宋_GBK" w:hAnsi="宋体" w:eastAsia="方正仿宋_GBK" w:cs="宋体"/>
                <w:kern w:val="0"/>
                <w:szCs w:val="21"/>
              </w:rPr>
            </w:pPr>
          </w:p>
        </w:tc>
      </w:tr>
      <w:tr>
        <w:tblPrEx>
          <w:tblCellMar>
            <w:top w:w="0" w:type="dxa"/>
            <w:left w:w="108" w:type="dxa"/>
            <w:bottom w:w="0" w:type="dxa"/>
            <w:right w:w="108" w:type="dxa"/>
          </w:tblCellMar>
        </w:tblPrEx>
        <w:trPr>
          <w:trHeight w:val="20" w:hRule="atLeast"/>
          <w:jc w:val="center"/>
        </w:trPr>
        <w:tc>
          <w:tcPr>
            <w:tcW w:w="188" w:type="pct"/>
            <w:tcBorders>
              <w:top w:val="nil"/>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1</w:t>
            </w:r>
          </w:p>
        </w:tc>
        <w:tc>
          <w:tcPr>
            <w:tcW w:w="25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改造</w:t>
            </w:r>
          </w:p>
        </w:tc>
        <w:tc>
          <w:tcPr>
            <w:tcW w:w="699"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老城区供水管网改造工程</w:t>
            </w:r>
          </w:p>
        </w:tc>
        <w:tc>
          <w:tcPr>
            <w:tcW w:w="56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胜利路街道</w:t>
            </w:r>
          </w:p>
        </w:tc>
        <w:tc>
          <w:tcPr>
            <w:tcW w:w="889" w:type="pct"/>
            <w:tcBorders>
              <w:top w:val="nil"/>
              <w:left w:val="nil"/>
              <w:bottom w:val="single" w:color="auto" w:sz="4" w:space="0"/>
              <w:right w:val="single" w:color="auto" w:sz="4" w:space="0"/>
            </w:tcBorders>
            <w:noWrap w:val="0"/>
            <w:vAlign w:val="center"/>
          </w:tcPr>
          <w:p>
            <w:pPr>
              <w:widowControl/>
              <w:snapToGrid w:val="0"/>
              <w:spacing w:line="240" w:lineRule="atLeast"/>
              <w:jc w:val="both"/>
              <w:rPr>
                <w:rFonts w:ascii="方正仿宋_GBK" w:hAnsi="宋体" w:eastAsia="方正仿宋_GBK" w:cs="宋体"/>
                <w:kern w:val="0"/>
                <w:szCs w:val="21"/>
              </w:rPr>
            </w:pPr>
            <w:r>
              <w:rPr>
                <w:rFonts w:hint="eastAsia" w:ascii="方正仿宋_GBK" w:hAnsi="宋体" w:eastAsia="方正仿宋_GBK" w:cs="宋体"/>
                <w:kern w:val="0"/>
                <w:szCs w:val="21"/>
              </w:rPr>
              <w:t>逐步替换区域内老旧管网5km</w:t>
            </w:r>
          </w:p>
        </w:tc>
        <w:tc>
          <w:tcPr>
            <w:tcW w:w="3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2022年　</w:t>
            </w:r>
          </w:p>
        </w:tc>
        <w:tc>
          <w:tcPr>
            <w:tcW w:w="3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城市管理局</w:t>
            </w:r>
          </w:p>
        </w:tc>
        <w:tc>
          <w:tcPr>
            <w:tcW w:w="30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65</w:t>
            </w:r>
          </w:p>
        </w:tc>
        <w:tc>
          <w:tcPr>
            <w:tcW w:w="299"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1000</w:t>
            </w:r>
          </w:p>
        </w:tc>
        <w:tc>
          <w:tcPr>
            <w:tcW w:w="25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248"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2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358" w:type="pct"/>
            <w:vMerge w:val="restart"/>
            <w:tcBorders>
              <w:top w:val="nil"/>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已纳入《重庆市永川区城市基础设施建设“十四五”规划（2021-2025）》</w:t>
            </w:r>
          </w:p>
        </w:tc>
      </w:tr>
      <w:tr>
        <w:tblPrEx>
          <w:tblCellMar>
            <w:top w:w="0" w:type="dxa"/>
            <w:left w:w="108" w:type="dxa"/>
            <w:bottom w:w="0" w:type="dxa"/>
            <w:right w:w="108" w:type="dxa"/>
          </w:tblCellMar>
        </w:tblPrEx>
        <w:trPr>
          <w:trHeight w:val="20" w:hRule="atLeast"/>
          <w:jc w:val="center"/>
        </w:trPr>
        <w:tc>
          <w:tcPr>
            <w:tcW w:w="188" w:type="pct"/>
            <w:tcBorders>
              <w:top w:val="nil"/>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w:t>
            </w:r>
          </w:p>
        </w:tc>
        <w:tc>
          <w:tcPr>
            <w:tcW w:w="25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改造</w:t>
            </w:r>
          </w:p>
        </w:tc>
        <w:tc>
          <w:tcPr>
            <w:tcW w:w="699"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新城片区供水管网改造工程</w:t>
            </w:r>
          </w:p>
        </w:tc>
        <w:tc>
          <w:tcPr>
            <w:tcW w:w="56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中山路街道</w:t>
            </w:r>
          </w:p>
        </w:tc>
        <w:tc>
          <w:tcPr>
            <w:tcW w:w="889" w:type="pct"/>
            <w:tcBorders>
              <w:top w:val="nil"/>
              <w:left w:val="nil"/>
              <w:bottom w:val="single" w:color="auto" w:sz="4" w:space="0"/>
              <w:right w:val="single" w:color="auto" w:sz="4" w:space="0"/>
            </w:tcBorders>
            <w:noWrap w:val="0"/>
            <w:vAlign w:val="center"/>
          </w:tcPr>
          <w:p>
            <w:pPr>
              <w:widowControl/>
              <w:snapToGrid w:val="0"/>
              <w:spacing w:line="240" w:lineRule="atLeast"/>
              <w:jc w:val="both"/>
              <w:rPr>
                <w:rFonts w:ascii="方正仿宋_GBK" w:hAnsi="宋体" w:eastAsia="方正仿宋_GBK" w:cs="宋体"/>
                <w:kern w:val="0"/>
                <w:szCs w:val="21"/>
              </w:rPr>
            </w:pPr>
            <w:r>
              <w:rPr>
                <w:rFonts w:hint="eastAsia" w:ascii="方正仿宋_GBK" w:hAnsi="宋体" w:eastAsia="方正仿宋_GBK" w:cs="宋体"/>
                <w:kern w:val="0"/>
                <w:szCs w:val="21"/>
              </w:rPr>
              <w:t>逐步替换区域内老旧管网10km</w:t>
            </w:r>
          </w:p>
        </w:tc>
        <w:tc>
          <w:tcPr>
            <w:tcW w:w="3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2022年　</w:t>
            </w:r>
          </w:p>
        </w:tc>
        <w:tc>
          <w:tcPr>
            <w:tcW w:w="3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城市管理局</w:t>
            </w:r>
          </w:p>
        </w:tc>
        <w:tc>
          <w:tcPr>
            <w:tcW w:w="30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86</w:t>
            </w:r>
          </w:p>
        </w:tc>
        <w:tc>
          <w:tcPr>
            <w:tcW w:w="299"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2000</w:t>
            </w:r>
          </w:p>
        </w:tc>
        <w:tc>
          <w:tcPr>
            <w:tcW w:w="25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248"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2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358" w:type="pct"/>
            <w:vMerge w:val="continue"/>
            <w:tcBorders>
              <w:top w:val="nil"/>
              <w:left w:val="single" w:color="auto" w:sz="4" w:space="0"/>
              <w:bottom w:val="single" w:color="auto" w:sz="4" w:space="0"/>
              <w:right w:val="single" w:color="auto" w:sz="4" w:space="0"/>
            </w:tcBorders>
            <w:noWrap w:val="0"/>
            <w:vAlign w:val="center"/>
          </w:tcPr>
          <w:p>
            <w:pPr>
              <w:widowControl/>
              <w:snapToGrid w:val="0"/>
              <w:spacing w:line="240" w:lineRule="atLeast"/>
              <w:jc w:val="left"/>
              <w:rPr>
                <w:rFonts w:ascii="方正仿宋_GBK" w:hAnsi="宋体" w:eastAsia="方正仿宋_GBK" w:cs="宋体"/>
                <w:kern w:val="0"/>
                <w:szCs w:val="21"/>
              </w:rPr>
            </w:pPr>
          </w:p>
        </w:tc>
      </w:tr>
      <w:tr>
        <w:tblPrEx>
          <w:tblCellMar>
            <w:top w:w="0" w:type="dxa"/>
            <w:left w:w="108" w:type="dxa"/>
            <w:bottom w:w="0" w:type="dxa"/>
            <w:right w:w="108" w:type="dxa"/>
          </w:tblCellMar>
        </w:tblPrEx>
        <w:trPr>
          <w:trHeight w:val="20" w:hRule="atLeast"/>
          <w:jc w:val="center"/>
        </w:trPr>
        <w:tc>
          <w:tcPr>
            <w:tcW w:w="188" w:type="pct"/>
            <w:tcBorders>
              <w:top w:val="nil"/>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3</w:t>
            </w:r>
          </w:p>
        </w:tc>
        <w:tc>
          <w:tcPr>
            <w:tcW w:w="25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改造</w:t>
            </w:r>
          </w:p>
        </w:tc>
        <w:tc>
          <w:tcPr>
            <w:tcW w:w="699"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一户表及二次供水设施改造工程</w:t>
            </w:r>
          </w:p>
        </w:tc>
        <w:tc>
          <w:tcPr>
            <w:tcW w:w="56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南大街街道、中山路街道、胜利路街道</w:t>
            </w:r>
          </w:p>
        </w:tc>
        <w:tc>
          <w:tcPr>
            <w:tcW w:w="889" w:type="pct"/>
            <w:tcBorders>
              <w:top w:val="nil"/>
              <w:left w:val="nil"/>
              <w:bottom w:val="single" w:color="auto" w:sz="4" w:space="0"/>
              <w:right w:val="single" w:color="auto" w:sz="4" w:space="0"/>
            </w:tcBorders>
            <w:noWrap w:val="0"/>
            <w:vAlign w:val="center"/>
          </w:tcPr>
          <w:p>
            <w:pPr>
              <w:widowControl/>
              <w:snapToGrid w:val="0"/>
              <w:spacing w:line="240" w:lineRule="atLeast"/>
              <w:jc w:val="both"/>
              <w:rPr>
                <w:rFonts w:ascii="方正仿宋_GBK" w:hAnsi="宋体" w:eastAsia="方正仿宋_GBK" w:cs="宋体"/>
                <w:kern w:val="0"/>
                <w:szCs w:val="21"/>
              </w:rPr>
            </w:pPr>
            <w:r>
              <w:rPr>
                <w:rFonts w:hint="eastAsia" w:ascii="方正仿宋_GBK" w:hAnsi="宋体" w:eastAsia="方正仿宋_GBK" w:cs="宋体"/>
                <w:kern w:val="0"/>
                <w:szCs w:val="21"/>
              </w:rPr>
              <w:t>加大宣传与改造力度，力争将仍使用总分表计量的4500户用户改造为一户一表；力争将目前城区341套二次供水设施改造完成。</w:t>
            </w:r>
          </w:p>
        </w:tc>
        <w:tc>
          <w:tcPr>
            <w:tcW w:w="3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2021～2023年　</w:t>
            </w:r>
          </w:p>
        </w:tc>
        <w:tc>
          <w:tcPr>
            <w:tcW w:w="3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城市管理局</w:t>
            </w:r>
          </w:p>
        </w:tc>
        <w:tc>
          <w:tcPr>
            <w:tcW w:w="30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66</w:t>
            </w:r>
          </w:p>
        </w:tc>
        <w:tc>
          <w:tcPr>
            <w:tcW w:w="299"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2500</w:t>
            </w:r>
          </w:p>
        </w:tc>
        <w:tc>
          <w:tcPr>
            <w:tcW w:w="25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248"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2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358" w:type="pct"/>
            <w:vMerge w:val="continue"/>
            <w:tcBorders>
              <w:top w:val="nil"/>
              <w:left w:val="single" w:color="auto" w:sz="4" w:space="0"/>
              <w:bottom w:val="single" w:color="auto" w:sz="4" w:space="0"/>
              <w:right w:val="single" w:color="auto" w:sz="4" w:space="0"/>
            </w:tcBorders>
            <w:noWrap w:val="0"/>
            <w:vAlign w:val="center"/>
          </w:tcPr>
          <w:p>
            <w:pPr>
              <w:widowControl/>
              <w:snapToGrid w:val="0"/>
              <w:spacing w:line="240" w:lineRule="atLeast"/>
              <w:jc w:val="left"/>
              <w:rPr>
                <w:rFonts w:ascii="方正仿宋_GBK" w:hAnsi="宋体" w:eastAsia="方正仿宋_GBK" w:cs="宋体"/>
                <w:kern w:val="0"/>
                <w:szCs w:val="21"/>
              </w:rPr>
            </w:pPr>
          </w:p>
        </w:tc>
      </w:tr>
      <w:tr>
        <w:tblPrEx>
          <w:tblCellMar>
            <w:top w:w="0" w:type="dxa"/>
            <w:left w:w="108" w:type="dxa"/>
            <w:bottom w:w="0" w:type="dxa"/>
            <w:right w:w="108" w:type="dxa"/>
          </w:tblCellMar>
        </w:tblPrEx>
        <w:trPr>
          <w:trHeight w:val="20" w:hRule="atLeast"/>
          <w:jc w:val="center"/>
        </w:trPr>
        <w:tc>
          <w:tcPr>
            <w:tcW w:w="188" w:type="pct"/>
            <w:tcBorders>
              <w:top w:val="nil"/>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4</w:t>
            </w:r>
          </w:p>
        </w:tc>
        <w:tc>
          <w:tcPr>
            <w:tcW w:w="25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改造</w:t>
            </w:r>
          </w:p>
        </w:tc>
        <w:tc>
          <w:tcPr>
            <w:tcW w:w="699"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镇</w:t>
            </w:r>
            <w:r>
              <w:rPr>
                <w:rFonts w:hint="eastAsia" w:ascii="方正仿宋_GBK" w:hAnsi="宋体" w:eastAsia="方正仿宋_GBK" w:cs="宋体"/>
                <w:kern w:val="0"/>
                <w:szCs w:val="21"/>
                <w:lang w:eastAsia="zh-CN"/>
              </w:rPr>
              <w:t>街</w:t>
            </w:r>
            <w:r>
              <w:rPr>
                <w:rFonts w:hint="eastAsia" w:ascii="方正仿宋_GBK" w:hAnsi="宋体" w:eastAsia="方正仿宋_GBK" w:cs="宋体"/>
                <w:kern w:val="0"/>
                <w:szCs w:val="21"/>
              </w:rPr>
              <w:t>管网改造工程</w:t>
            </w:r>
          </w:p>
        </w:tc>
        <w:tc>
          <w:tcPr>
            <w:tcW w:w="56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永川区</w:t>
            </w:r>
          </w:p>
        </w:tc>
        <w:tc>
          <w:tcPr>
            <w:tcW w:w="889" w:type="pct"/>
            <w:tcBorders>
              <w:top w:val="nil"/>
              <w:left w:val="nil"/>
              <w:bottom w:val="single" w:color="auto" w:sz="4" w:space="0"/>
              <w:right w:val="single" w:color="auto" w:sz="4" w:space="0"/>
            </w:tcBorders>
            <w:noWrap w:val="0"/>
            <w:vAlign w:val="center"/>
          </w:tcPr>
          <w:p>
            <w:pPr>
              <w:widowControl/>
              <w:snapToGrid w:val="0"/>
              <w:spacing w:line="240" w:lineRule="atLeast"/>
              <w:jc w:val="both"/>
              <w:rPr>
                <w:rFonts w:ascii="方正仿宋_GBK" w:hAnsi="宋体" w:eastAsia="方正仿宋_GBK" w:cs="宋体"/>
                <w:kern w:val="0"/>
                <w:szCs w:val="21"/>
              </w:rPr>
            </w:pPr>
            <w:r>
              <w:rPr>
                <w:rFonts w:hint="eastAsia" w:ascii="方正仿宋_GBK" w:hAnsi="宋体" w:eastAsia="方正仿宋_GBK" w:cs="宋体"/>
                <w:kern w:val="0"/>
                <w:szCs w:val="21"/>
              </w:rPr>
              <w:t>对三教、板桥、双石、红炉、来苏、宝峰、陈食、金龙、卫星湖、五间、何埂、吉安、朱沱等29个老旧工程进行改造</w:t>
            </w:r>
          </w:p>
        </w:tc>
        <w:tc>
          <w:tcPr>
            <w:tcW w:w="3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2021～2025年　</w:t>
            </w:r>
          </w:p>
        </w:tc>
        <w:tc>
          <w:tcPr>
            <w:tcW w:w="3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水利局</w:t>
            </w:r>
          </w:p>
        </w:tc>
        <w:tc>
          <w:tcPr>
            <w:tcW w:w="30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164</w:t>
            </w:r>
          </w:p>
        </w:tc>
        <w:tc>
          <w:tcPr>
            <w:tcW w:w="299"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22300</w:t>
            </w:r>
          </w:p>
        </w:tc>
        <w:tc>
          <w:tcPr>
            <w:tcW w:w="25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248"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2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358" w:type="pct"/>
            <w:vMerge w:val="restart"/>
            <w:tcBorders>
              <w:top w:val="nil"/>
              <w:left w:val="nil"/>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已纳入《永川区“十四五”水安全保障规划</w:t>
            </w:r>
          </w:p>
          <w:p>
            <w:pPr>
              <w:snapToGrid w:val="0"/>
              <w:spacing w:line="240" w:lineRule="atLeast"/>
              <w:jc w:val="center"/>
              <w:rPr>
                <w:rFonts w:ascii="方正仿宋_GBK" w:hAnsi="宋体" w:eastAsia="方正仿宋_GBK" w:cs="宋体"/>
                <w:kern w:val="0"/>
                <w:szCs w:val="21"/>
              </w:rPr>
            </w:pPr>
          </w:p>
        </w:tc>
      </w:tr>
      <w:tr>
        <w:tblPrEx>
          <w:tblCellMar>
            <w:top w:w="0" w:type="dxa"/>
            <w:left w:w="108" w:type="dxa"/>
            <w:bottom w:w="0" w:type="dxa"/>
            <w:right w:w="108" w:type="dxa"/>
          </w:tblCellMar>
        </w:tblPrEx>
        <w:trPr>
          <w:trHeight w:val="20" w:hRule="atLeast"/>
          <w:jc w:val="center"/>
        </w:trPr>
        <w:tc>
          <w:tcPr>
            <w:tcW w:w="188" w:type="pct"/>
            <w:tcBorders>
              <w:top w:val="nil"/>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5</w:t>
            </w:r>
          </w:p>
        </w:tc>
        <w:tc>
          <w:tcPr>
            <w:tcW w:w="25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改造</w:t>
            </w:r>
          </w:p>
        </w:tc>
        <w:tc>
          <w:tcPr>
            <w:tcW w:w="699"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泵站的更新改造工程</w:t>
            </w:r>
          </w:p>
        </w:tc>
        <w:tc>
          <w:tcPr>
            <w:tcW w:w="56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松溉镇</w:t>
            </w:r>
          </w:p>
        </w:tc>
        <w:tc>
          <w:tcPr>
            <w:tcW w:w="889" w:type="pct"/>
            <w:tcBorders>
              <w:top w:val="nil"/>
              <w:left w:val="nil"/>
              <w:bottom w:val="single" w:color="auto" w:sz="4" w:space="0"/>
              <w:right w:val="single" w:color="auto" w:sz="4" w:space="0"/>
            </w:tcBorders>
            <w:noWrap w:val="0"/>
            <w:vAlign w:val="center"/>
          </w:tcPr>
          <w:p>
            <w:pPr>
              <w:widowControl/>
              <w:snapToGrid w:val="0"/>
              <w:spacing w:line="240" w:lineRule="atLeast"/>
              <w:jc w:val="both"/>
              <w:rPr>
                <w:rFonts w:ascii="方正仿宋_GBK" w:hAnsi="宋体" w:eastAsia="方正仿宋_GBK" w:cs="宋体"/>
                <w:kern w:val="0"/>
                <w:szCs w:val="21"/>
              </w:rPr>
            </w:pPr>
            <w:r>
              <w:rPr>
                <w:rFonts w:hint="eastAsia" w:ascii="方正仿宋_GBK" w:hAnsi="宋体" w:eastAsia="方正仿宋_GBK" w:cs="宋体"/>
                <w:kern w:val="0"/>
                <w:szCs w:val="21"/>
              </w:rPr>
              <w:t>长江提水泵站改造，管道及水泵的更换</w:t>
            </w:r>
          </w:p>
        </w:tc>
        <w:tc>
          <w:tcPr>
            <w:tcW w:w="3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2022年</w:t>
            </w:r>
          </w:p>
        </w:tc>
        <w:tc>
          <w:tcPr>
            <w:tcW w:w="3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水利局</w:t>
            </w:r>
          </w:p>
        </w:tc>
        <w:tc>
          <w:tcPr>
            <w:tcW w:w="30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85</w:t>
            </w:r>
          </w:p>
        </w:tc>
        <w:tc>
          <w:tcPr>
            <w:tcW w:w="299"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800</w:t>
            </w:r>
          </w:p>
        </w:tc>
        <w:tc>
          <w:tcPr>
            <w:tcW w:w="25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248"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2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358" w:type="pct"/>
            <w:vMerge w:val="continue"/>
            <w:tcBorders>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p>
        </w:tc>
      </w:tr>
      <w:tr>
        <w:tblPrEx>
          <w:tblCellMar>
            <w:top w:w="0" w:type="dxa"/>
            <w:left w:w="108" w:type="dxa"/>
            <w:bottom w:w="0" w:type="dxa"/>
            <w:right w:w="108" w:type="dxa"/>
          </w:tblCellMar>
        </w:tblPrEx>
        <w:trPr>
          <w:trHeight w:val="586" w:hRule="atLeast"/>
          <w:jc w:val="center"/>
        </w:trPr>
        <w:tc>
          <w:tcPr>
            <w:tcW w:w="438" w:type="pct"/>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合计</w:t>
            </w:r>
          </w:p>
        </w:tc>
        <w:tc>
          <w:tcPr>
            <w:tcW w:w="699"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56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889" w:type="pct"/>
            <w:tcBorders>
              <w:top w:val="nil"/>
              <w:left w:val="nil"/>
              <w:bottom w:val="single" w:color="auto" w:sz="4" w:space="0"/>
              <w:right w:val="single" w:color="auto" w:sz="4" w:space="0"/>
            </w:tcBorders>
            <w:noWrap w:val="0"/>
            <w:vAlign w:val="center"/>
          </w:tcPr>
          <w:p>
            <w:pPr>
              <w:widowControl/>
              <w:snapToGrid w:val="0"/>
              <w:spacing w:line="240" w:lineRule="atLeast"/>
              <w:jc w:val="both"/>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3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3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30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466</w:t>
            </w:r>
          </w:p>
        </w:tc>
        <w:tc>
          <w:tcPr>
            <w:tcW w:w="299"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28600</w:t>
            </w:r>
          </w:p>
        </w:tc>
        <w:tc>
          <w:tcPr>
            <w:tcW w:w="25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248"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25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c>
          <w:tcPr>
            <w:tcW w:w="358"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　</w:t>
            </w:r>
          </w:p>
        </w:tc>
      </w:tr>
    </w:tbl>
    <w:p>
      <w:pPr>
        <w:pageBreakBefore w:val="0"/>
        <w:kinsoku/>
        <w:wordWrap/>
        <w:overflowPunct/>
        <w:topLinePunct w:val="0"/>
        <w:autoSpaceDE/>
        <w:autoSpaceDN/>
        <w:bidi w:val="0"/>
        <w:spacing w:line="276" w:lineRule="auto"/>
        <w:ind w:firstLine="0" w:firstLineChars="0"/>
        <w:jc w:val="both"/>
        <w:textAlignment w:val="auto"/>
        <w:outlineLvl w:val="1"/>
        <w:rPr>
          <w:rFonts w:hint="eastAsia" w:ascii="方正仿宋_GBK" w:hAnsi="方正仿宋_GBK" w:eastAsia="方正仿宋_GBK" w:cs="方正仿宋_GBK"/>
          <w:sz w:val="32"/>
          <w:szCs w:val="32"/>
        </w:rPr>
      </w:pPr>
      <w:bookmarkStart w:id="199" w:name="_Toc1178864023"/>
      <w:bookmarkStart w:id="200" w:name="_Toc583926136"/>
      <w:bookmarkStart w:id="201" w:name="_Toc949543281"/>
      <w:r>
        <w:rPr>
          <w:rFonts w:hint="eastAsia" w:ascii="方正仿宋_GBK" w:hAnsi="方正仿宋_GBK" w:eastAsia="方正仿宋_GBK" w:cs="方正仿宋_GBK"/>
          <w:sz w:val="32"/>
          <w:szCs w:val="32"/>
        </w:rPr>
        <w:t>附表2</w:t>
      </w:r>
    </w:p>
    <w:p>
      <w:pPr>
        <w:pageBreakBefore w:val="0"/>
        <w:kinsoku/>
        <w:wordWrap/>
        <w:overflowPunct/>
        <w:topLinePunct w:val="0"/>
        <w:autoSpaceDE/>
        <w:autoSpaceDN/>
        <w:bidi w:val="0"/>
        <w:spacing w:line="276" w:lineRule="auto"/>
        <w:ind w:firstLine="0" w:firstLineChars="0"/>
        <w:jc w:val="center"/>
        <w:textAlignment w:val="auto"/>
        <w:outlineLvl w:val="1"/>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永川区“十四五”非常规水源利用工程</w:t>
      </w:r>
      <w:bookmarkEnd w:id="199"/>
      <w:bookmarkEnd w:id="200"/>
      <w:bookmarkEnd w:id="201"/>
    </w:p>
    <w:tbl>
      <w:tblPr>
        <w:tblStyle w:val="17"/>
        <w:tblW w:w="13780" w:type="dxa"/>
        <w:jc w:val="center"/>
        <w:tblLayout w:type="autofit"/>
        <w:tblCellMar>
          <w:top w:w="0" w:type="dxa"/>
          <w:left w:w="108" w:type="dxa"/>
          <w:bottom w:w="0" w:type="dxa"/>
          <w:right w:w="108" w:type="dxa"/>
        </w:tblCellMar>
      </w:tblPr>
      <w:tblGrid>
        <w:gridCol w:w="754"/>
        <w:gridCol w:w="960"/>
        <w:gridCol w:w="1350"/>
        <w:gridCol w:w="1470"/>
        <w:gridCol w:w="1882"/>
        <w:gridCol w:w="1030"/>
        <w:gridCol w:w="1013"/>
        <w:gridCol w:w="1310"/>
        <w:gridCol w:w="1161"/>
        <w:gridCol w:w="1013"/>
        <w:gridCol w:w="1837"/>
      </w:tblGrid>
      <w:tr>
        <w:tblPrEx>
          <w:tblCellMar>
            <w:top w:w="0" w:type="dxa"/>
            <w:left w:w="108" w:type="dxa"/>
            <w:bottom w:w="0" w:type="dxa"/>
            <w:right w:w="108" w:type="dxa"/>
          </w:tblCellMar>
        </w:tblPrEx>
        <w:trPr>
          <w:trHeight w:val="20" w:hRule="atLeast"/>
          <w:jc w:val="center"/>
        </w:trPr>
        <w:tc>
          <w:tcPr>
            <w:tcW w:w="754" w:type="dxa"/>
            <w:tcBorders>
              <w:top w:val="single" w:color="000000" w:sz="8" w:space="0"/>
              <w:left w:val="single" w:color="000000" w:sz="8" w:space="0"/>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序号</w:t>
            </w:r>
          </w:p>
        </w:tc>
        <w:tc>
          <w:tcPr>
            <w:tcW w:w="960" w:type="dxa"/>
            <w:tcBorders>
              <w:top w:val="single" w:color="000000" w:sz="8" w:space="0"/>
              <w:left w:val="nil"/>
              <w:bottom w:val="single" w:color="000000" w:sz="8" w:space="0"/>
              <w:right w:val="single" w:color="000000" w:sz="8" w:space="0"/>
            </w:tcBorders>
            <w:noWrap w:val="0"/>
            <w:vAlign w:val="center"/>
          </w:tcPr>
          <w:p>
            <w:pPr>
              <w:widowControl/>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项目</w:t>
            </w:r>
          </w:p>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类别</w:t>
            </w:r>
          </w:p>
        </w:tc>
        <w:tc>
          <w:tcPr>
            <w:tcW w:w="1350" w:type="dxa"/>
            <w:tcBorders>
              <w:top w:val="single" w:color="000000" w:sz="8" w:space="0"/>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项目名称</w:t>
            </w:r>
          </w:p>
        </w:tc>
        <w:tc>
          <w:tcPr>
            <w:tcW w:w="1470" w:type="dxa"/>
            <w:tcBorders>
              <w:top w:val="single" w:color="000000" w:sz="8" w:space="0"/>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项目所在地</w:t>
            </w:r>
          </w:p>
        </w:tc>
        <w:tc>
          <w:tcPr>
            <w:tcW w:w="1882" w:type="dxa"/>
            <w:tcBorders>
              <w:top w:val="single" w:color="000000" w:sz="8" w:space="0"/>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主要建设内容</w:t>
            </w:r>
          </w:p>
        </w:tc>
        <w:tc>
          <w:tcPr>
            <w:tcW w:w="1030" w:type="dxa"/>
            <w:tcBorders>
              <w:top w:val="single" w:color="000000" w:sz="8" w:space="0"/>
              <w:left w:val="nil"/>
              <w:bottom w:val="single" w:color="000000" w:sz="8" w:space="0"/>
              <w:right w:val="single" w:color="000000" w:sz="8" w:space="0"/>
            </w:tcBorders>
            <w:noWrap w:val="0"/>
            <w:vAlign w:val="center"/>
          </w:tcPr>
          <w:p>
            <w:pPr>
              <w:widowControl/>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建设</w:t>
            </w:r>
          </w:p>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时限</w:t>
            </w:r>
          </w:p>
        </w:tc>
        <w:tc>
          <w:tcPr>
            <w:tcW w:w="1013" w:type="dxa"/>
            <w:tcBorders>
              <w:top w:val="single" w:color="000000" w:sz="8" w:space="0"/>
              <w:left w:val="nil"/>
              <w:bottom w:val="single" w:color="000000" w:sz="8" w:space="0"/>
              <w:right w:val="single" w:color="000000" w:sz="8" w:space="0"/>
            </w:tcBorders>
            <w:noWrap w:val="0"/>
            <w:vAlign w:val="center"/>
          </w:tcPr>
          <w:p>
            <w:pPr>
              <w:widowControl/>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负责</w:t>
            </w:r>
          </w:p>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部门</w:t>
            </w:r>
          </w:p>
        </w:tc>
        <w:tc>
          <w:tcPr>
            <w:tcW w:w="1310" w:type="dxa"/>
            <w:tcBorders>
              <w:top w:val="single" w:color="000000" w:sz="8" w:space="0"/>
              <w:left w:val="nil"/>
              <w:bottom w:val="single" w:color="000000" w:sz="8" w:space="0"/>
              <w:right w:val="single" w:color="000000" w:sz="8" w:space="0"/>
            </w:tcBorders>
            <w:noWrap w:val="0"/>
            <w:vAlign w:val="center"/>
          </w:tcPr>
          <w:p>
            <w:pPr>
              <w:widowControl/>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年替代水资源量</w:t>
            </w:r>
          </w:p>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lang w:eastAsia="zh-CN"/>
              </w:rPr>
              <w:t>（</w:t>
            </w:r>
            <w:r>
              <w:rPr>
                <w:rFonts w:hint="eastAsia" w:ascii="方正仿宋_GBK" w:hAnsi="宋体" w:eastAsia="方正仿宋_GBK" w:cs="宋体"/>
                <w:kern w:val="0"/>
                <w:sz w:val="21"/>
                <w:szCs w:val="21"/>
              </w:rPr>
              <w:t>万m</w:t>
            </w:r>
            <w:r>
              <w:rPr>
                <w:rFonts w:hint="eastAsia" w:ascii="方正仿宋_GBK" w:hAnsi="宋体" w:eastAsia="方正仿宋_GBK" w:cs="宋体"/>
                <w:kern w:val="0"/>
                <w:sz w:val="21"/>
                <w:szCs w:val="21"/>
                <w:vertAlign w:val="superscript"/>
              </w:rPr>
              <w:t>3</w:t>
            </w:r>
            <w:r>
              <w:rPr>
                <w:rFonts w:hint="eastAsia" w:ascii="方正仿宋_GBK" w:hAnsi="宋体" w:eastAsia="方正仿宋_GBK" w:cs="宋体"/>
                <w:kern w:val="0"/>
                <w:sz w:val="21"/>
                <w:szCs w:val="21"/>
                <w:lang w:eastAsia="zh-CN"/>
              </w:rPr>
              <w:t>）</w:t>
            </w:r>
          </w:p>
        </w:tc>
        <w:tc>
          <w:tcPr>
            <w:tcW w:w="1161" w:type="dxa"/>
            <w:tcBorders>
              <w:top w:val="single" w:color="000000" w:sz="8" w:space="0"/>
              <w:left w:val="nil"/>
              <w:bottom w:val="single" w:color="000000" w:sz="8" w:space="0"/>
              <w:right w:val="single" w:color="000000" w:sz="8" w:space="0"/>
            </w:tcBorders>
            <w:noWrap w:val="0"/>
            <w:vAlign w:val="center"/>
          </w:tcPr>
          <w:p>
            <w:pPr>
              <w:widowControl/>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投资</w:t>
            </w:r>
          </w:p>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lang w:eastAsia="zh-CN"/>
              </w:rPr>
              <w:t>（</w:t>
            </w:r>
            <w:r>
              <w:rPr>
                <w:rFonts w:hint="eastAsia" w:ascii="方正仿宋_GBK" w:hAnsi="宋体" w:eastAsia="方正仿宋_GBK" w:cs="宋体"/>
                <w:kern w:val="0"/>
                <w:sz w:val="21"/>
                <w:szCs w:val="21"/>
              </w:rPr>
              <w:t>万元</w:t>
            </w:r>
            <w:r>
              <w:rPr>
                <w:rFonts w:hint="eastAsia" w:ascii="方正仿宋_GBK" w:hAnsi="宋体" w:eastAsia="方正仿宋_GBK" w:cs="宋体"/>
                <w:kern w:val="0"/>
                <w:sz w:val="21"/>
                <w:szCs w:val="21"/>
                <w:lang w:eastAsia="zh-CN"/>
              </w:rPr>
              <w:t>）</w:t>
            </w:r>
          </w:p>
        </w:tc>
        <w:tc>
          <w:tcPr>
            <w:tcW w:w="1013" w:type="dxa"/>
            <w:tcBorders>
              <w:top w:val="single" w:color="000000" w:sz="8" w:space="0"/>
              <w:left w:val="nil"/>
              <w:bottom w:val="single" w:color="000000" w:sz="8" w:space="0"/>
              <w:right w:val="single" w:color="000000" w:sz="8" w:space="0"/>
            </w:tcBorders>
            <w:noWrap w:val="0"/>
            <w:vAlign w:val="center"/>
          </w:tcPr>
          <w:p>
            <w:pPr>
              <w:widowControl/>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投资</w:t>
            </w:r>
          </w:p>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渠道</w:t>
            </w:r>
          </w:p>
        </w:tc>
        <w:tc>
          <w:tcPr>
            <w:tcW w:w="1837" w:type="dxa"/>
            <w:tcBorders>
              <w:top w:val="single" w:color="000000" w:sz="8" w:space="0"/>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备注</w:t>
            </w:r>
          </w:p>
        </w:tc>
      </w:tr>
      <w:tr>
        <w:tblPrEx>
          <w:tblCellMar>
            <w:top w:w="0" w:type="dxa"/>
            <w:left w:w="108" w:type="dxa"/>
            <w:bottom w:w="0" w:type="dxa"/>
            <w:right w:w="108" w:type="dxa"/>
          </w:tblCellMar>
        </w:tblPrEx>
        <w:trPr>
          <w:trHeight w:val="20" w:hRule="atLeast"/>
          <w:jc w:val="center"/>
        </w:trPr>
        <w:tc>
          <w:tcPr>
            <w:tcW w:w="754" w:type="dxa"/>
            <w:tcBorders>
              <w:top w:val="nil"/>
              <w:left w:val="single" w:color="000000" w:sz="8" w:space="0"/>
              <w:bottom w:val="single" w:color="000000" w:sz="8" w:space="0"/>
              <w:right w:val="single" w:color="000000" w:sz="8" w:space="0"/>
            </w:tcBorders>
            <w:shd w:val="clear" w:color="auto" w:fill="auto"/>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w:t>
            </w:r>
          </w:p>
        </w:tc>
        <w:tc>
          <w:tcPr>
            <w:tcW w:w="960" w:type="dxa"/>
            <w:tcBorders>
              <w:top w:val="nil"/>
              <w:left w:val="nil"/>
              <w:bottom w:val="single" w:color="000000" w:sz="8" w:space="0"/>
              <w:right w:val="single" w:color="000000" w:sz="8" w:space="0"/>
            </w:tcBorders>
            <w:shd w:val="clear" w:color="auto" w:fill="auto"/>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城市再生水利用</w:t>
            </w:r>
          </w:p>
        </w:tc>
        <w:tc>
          <w:tcPr>
            <w:tcW w:w="1350" w:type="dxa"/>
            <w:tcBorders>
              <w:top w:val="nil"/>
              <w:left w:val="nil"/>
              <w:bottom w:val="single" w:color="auto" w:sz="8" w:space="0"/>
              <w:right w:val="single" w:color="auto" w:sz="8" w:space="0"/>
            </w:tcBorders>
            <w:shd w:val="clear" w:color="000000" w:fill="FFFFFF"/>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永川污水处理厂三期中水回用工程</w:t>
            </w:r>
          </w:p>
        </w:tc>
        <w:tc>
          <w:tcPr>
            <w:tcW w:w="1470" w:type="dxa"/>
            <w:tcBorders>
              <w:top w:val="nil"/>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永川区中山路街道</w:t>
            </w:r>
          </w:p>
        </w:tc>
        <w:tc>
          <w:tcPr>
            <w:tcW w:w="1882" w:type="dxa"/>
            <w:tcBorders>
              <w:top w:val="nil"/>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实施永川污水处理厂三期中水回用工程，设计规模为3.0万m</w:t>
            </w:r>
            <w:r>
              <w:rPr>
                <w:rFonts w:hint="eastAsia" w:ascii="方正仿宋_GBK" w:hAnsi="宋体" w:eastAsia="方正仿宋_GBK" w:cs="宋体"/>
                <w:kern w:val="0"/>
                <w:sz w:val="21"/>
                <w:szCs w:val="21"/>
                <w:vertAlign w:val="superscript"/>
              </w:rPr>
              <w:t>3</w:t>
            </w:r>
            <w:r>
              <w:rPr>
                <w:rFonts w:hint="eastAsia" w:ascii="方正仿宋_GBK" w:hAnsi="宋体" w:eastAsia="方正仿宋_GBK" w:cs="宋体"/>
                <w:kern w:val="0"/>
                <w:sz w:val="21"/>
                <w:szCs w:val="21"/>
              </w:rPr>
              <w:t>/d</w:t>
            </w:r>
          </w:p>
        </w:tc>
        <w:tc>
          <w:tcPr>
            <w:tcW w:w="1030" w:type="dxa"/>
            <w:tcBorders>
              <w:top w:val="nil"/>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2022年</w:t>
            </w:r>
          </w:p>
        </w:tc>
        <w:tc>
          <w:tcPr>
            <w:tcW w:w="1013" w:type="dxa"/>
            <w:tcBorders>
              <w:top w:val="nil"/>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住建委</w:t>
            </w:r>
          </w:p>
        </w:tc>
        <w:tc>
          <w:tcPr>
            <w:tcW w:w="1310" w:type="dxa"/>
            <w:tcBorders>
              <w:top w:val="nil"/>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1095</w:t>
            </w:r>
          </w:p>
        </w:tc>
        <w:tc>
          <w:tcPr>
            <w:tcW w:w="1161" w:type="dxa"/>
            <w:tcBorders>
              <w:top w:val="nil"/>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1616</w:t>
            </w:r>
          </w:p>
        </w:tc>
        <w:tc>
          <w:tcPr>
            <w:tcW w:w="1013" w:type="dxa"/>
            <w:tcBorders>
              <w:top w:val="nil"/>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市级</w:t>
            </w:r>
          </w:p>
        </w:tc>
        <w:tc>
          <w:tcPr>
            <w:tcW w:w="1837" w:type="dxa"/>
            <w:tcBorders>
              <w:top w:val="nil"/>
              <w:left w:val="nil"/>
              <w:bottom w:val="single" w:color="000000" w:sz="8" w:space="0"/>
              <w:right w:val="single" w:color="000000" w:sz="8" w:space="0"/>
            </w:tcBorders>
            <w:noWrap w:val="0"/>
            <w:vAlign w:val="center"/>
          </w:tcPr>
          <w:p>
            <w:pPr>
              <w:widowControl/>
              <w:jc w:val="both"/>
              <w:rPr>
                <w:rFonts w:ascii="方正仿宋_GBK" w:hAnsi="宋体" w:eastAsia="方正仿宋_GBK" w:cs="宋体"/>
                <w:spacing w:val="-17"/>
                <w:kern w:val="0"/>
                <w:sz w:val="21"/>
                <w:szCs w:val="21"/>
              </w:rPr>
            </w:pPr>
            <w:r>
              <w:rPr>
                <w:rFonts w:hint="eastAsia" w:ascii="方正仿宋_GBK" w:hAnsi="宋体" w:eastAsia="方正仿宋_GBK" w:cs="宋体"/>
                <w:spacing w:val="-17"/>
                <w:kern w:val="0"/>
                <w:sz w:val="21"/>
                <w:szCs w:val="21"/>
              </w:rPr>
              <w:t>已纳入《重庆市永川区城市基础设施建设“十四五”规划（2021-2025）》</w:t>
            </w:r>
          </w:p>
        </w:tc>
      </w:tr>
      <w:tr>
        <w:tblPrEx>
          <w:tblCellMar>
            <w:top w:w="0" w:type="dxa"/>
            <w:left w:w="108" w:type="dxa"/>
            <w:bottom w:w="0" w:type="dxa"/>
            <w:right w:w="108" w:type="dxa"/>
          </w:tblCellMar>
        </w:tblPrEx>
        <w:trPr>
          <w:trHeight w:val="677" w:hRule="atLeast"/>
          <w:jc w:val="center"/>
        </w:trPr>
        <w:tc>
          <w:tcPr>
            <w:tcW w:w="1714" w:type="dxa"/>
            <w:gridSpan w:val="2"/>
            <w:tcBorders>
              <w:top w:val="single" w:color="000000" w:sz="8" w:space="0"/>
              <w:left w:val="single" w:color="000000" w:sz="8" w:space="0"/>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合计</w:t>
            </w:r>
          </w:p>
        </w:tc>
        <w:tc>
          <w:tcPr>
            <w:tcW w:w="1350" w:type="dxa"/>
            <w:tcBorders>
              <w:top w:val="nil"/>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1470" w:type="dxa"/>
            <w:tcBorders>
              <w:top w:val="nil"/>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1882" w:type="dxa"/>
            <w:tcBorders>
              <w:top w:val="nil"/>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1030" w:type="dxa"/>
            <w:tcBorders>
              <w:top w:val="nil"/>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1013" w:type="dxa"/>
            <w:tcBorders>
              <w:top w:val="nil"/>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1310" w:type="dxa"/>
            <w:tcBorders>
              <w:top w:val="nil"/>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1095</w:t>
            </w:r>
          </w:p>
        </w:tc>
        <w:tc>
          <w:tcPr>
            <w:tcW w:w="1161" w:type="dxa"/>
            <w:tcBorders>
              <w:top w:val="nil"/>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1616</w:t>
            </w:r>
          </w:p>
        </w:tc>
        <w:tc>
          <w:tcPr>
            <w:tcW w:w="1013" w:type="dxa"/>
            <w:tcBorders>
              <w:top w:val="nil"/>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1837" w:type="dxa"/>
            <w:tcBorders>
              <w:top w:val="nil"/>
              <w:left w:val="nil"/>
              <w:bottom w:val="single" w:color="000000" w:sz="8" w:space="0"/>
              <w:right w:val="single" w:color="000000" w:sz="8" w:space="0"/>
            </w:tcBorders>
            <w:noWrap w:val="0"/>
            <w:vAlign w:val="center"/>
          </w:tcPr>
          <w:p>
            <w:pPr>
              <w:widowControl/>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r>
    </w:tbl>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sectPr>
          <w:pgSz w:w="16838" w:h="11905" w:orient="landscape"/>
          <w:pgMar w:top="1587" w:right="2098" w:bottom="1474" w:left="1984" w:header="851" w:footer="1474" w:gutter="0"/>
          <w:pgNumType w:fmt="numberInDash"/>
          <w:cols w:space="720" w:num="1"/>
          <w:rtlGutter w:val="0"/>
          <w:docGrid w:type="lines" w:linePitch="327" w:charSpace="0"/>
        </w:sectPr>
      </w:pPr>
    </w:p>
    <w:p>
      <w:pPr>
        <w:pageBreakBefore w:val="0"/>
        <w:kinsoku/>
        <w:wordWrap/>
        <w:overflowPunct/>
        <w:topLinePunct w:val="0"/>
        <w:autoSpaceDE/>
        <w:autoSpaceDN/>
        <w:bidi w:val="0"/>
        <w:spacing w:line="276" w:lineRule="auto"/>
        <w:ind w:firstLine="0" w:firstLineChars="0"/>
        <w:jc w:val="both"/>
        <w:textAlignment w:val="auto"/>
        <w:outlineLvl w:val="1"/>
        <w:rPr>
          <w:rFonts w:hint="eastAsia" w:ascii="方正仿宋_GBK" w:hAnsi="方正仿宋_GBK" w:eastAsia="方正仿宋_GBK" w:cs="方正仿宋_GBK"/>
          <w:sz w:val="32"/>
          <w:szCs w:val="32"/>
        </w:rPr>
      </w:pPr>
      <w:bookmarkStart w:id="202" w:name="_Toc504843657"/>
      <w:bookmarkStart w:id="203" w:name="_Toc2110261484"/>
      <w:bookmarkStart w:id="204" w:name="_Toc864441448"/>
      <w:r>
        <w:rPr>
          <w:rFonts w:hint="eastAsia" w:ascii="方正仿宋_GBK" w:hAnsi="方正仿宋_GBK" w:eastAsia="方正仿宋_GBK" w:cs="方正仿宋_GBK"/>
          <w:sz w:val="32"/>
          <w:szCs w:val="32"/>
        </w:rPr>
        <w:t>附表3</w:t>
      </w:r>
    </w:p>
    <w:p>
      <w:pPr>
        <w:pageBreakBefore w:val="0"/>
        <w:kinsoku/>
        <w:wordWrap/>
        <w:overflowPunct/>
        <w:topLinePunct w:val="0"/>
        <w:autoSpaceDE/>
        <w:autoSpaceDN/>
        <w:bidi w:val="0"/>
        <w:spacing w:line="276" w:lineRule="auto"/>
        <w:ind w:firstLine="0" w:firstLineChars="0"/>
        <w:jc w:val="center"/>
        <w:textAlignment w:val="auto"/>
        <w:outlineLvl w:val="1"/>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永川区“十四五”农业节水灌溉工程统计表</w:t>
      </w:r>
      <w:bookmarkEnd w:id="202"/>
      <w:bookmarkEnd w:id="203"/>
      <w:bookmarkEnd w:id="204"/>
    </w:p>
    <w:tbl>
      <w:tblPr>
        <w:tblStyle w:val="17"/>
        <w:tblW w:w="13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903"/>
        <w:gridCol w:w="974"/>
        <w:gridCol w:w="975"/>
        <w:gridCol w:w="1875"/>
        <w:gridCol w:w="930"/>
        <w:gridCol w:w="885"/>
        <w:gridCol w:w="1035"/>
        <w:gridCol w:w="960"/>
        <w:gridCol w:w="1125"/>
        <w:gridCol w:w="1050"/>
        <w:gridCol w:w="600"/>
        <w:gridCol w:w="600"/>
        <w:gridCol w:w="630"/>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469" w:type="dxa"/>
            <w:vMerge w:val="restart"/>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序号</w:t>
            </w:r>
          </w:p>
        </w:tc>
        <w:tc>
          <w:tcPr>
            <w:tcW w:w="903" w:type="dxa"/>
            <w:vMerge w:val="restart"/>
            <w:noWrap w:val="0"/>
            <w:vAlign w:val="center"/>
          </w:tcPr>
          <w:p>
            <w:pPr>
              <w:widowControl/>
              <w:snapToGrid w:val="0"/>
              <w:spacing w:line="240" w:lineRule="atLeast"/>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项目</w:t>
            </w:r>
          </w:p>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类别</w:t>
            </w:r>
          </w:p>
        </w:tc>
        <w:tc>
          <w:tcPr>
            <w:tcW w:w="974" w:type="dxa"/>
            <w:vMerge w:val="restart"/>
            <w:noWrap w:val="0"/>
            <w:vAlign w:val="center"/>
          </w:tcPr>
          <w:p>
            <w:pPr>
              <w:widowControl/>
              <w:snapToGrid w:val="0"/>
              <w:spacing w:line="240" w:lineRule="atLeast"/>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项目</w:t>
            </w:r>
          </w:p>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名称</w:t>
            </w:r>
          </w:p>
        </w:tc>
        <w:tc>
          <w:tcPr>
            <w:tcW w:w="975" w:type="dxa"/>
            <w:vMerge w:val="restart"/>
            <w:noWrap w:val="0"/>
            <w:vAlign w:val="center"/>
          </w:tcPr>
          <w:p>
            <w:pPr>
              <w:widowControl/>
              <w:snapToGrid w:val="0"/>
              <w:spacing w:line="240" w:lineRule="atLeast"/>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项目</w:t>
            </w:r>
          </w:p>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所在地</w:t>
            </w:r>
          </w:p>
        </w:tc>
        <w:tc>
          <w:tcPr>
            <w:tcW w:w="1875" w:type="dxa"/>
            <w:vMerge w:val="restart"/>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主要建设内容</w:t>
            </w:r>
          </w:p>
        </w:tc>
        <w:tc>
          <w:tcPr>
            <w:tcW w:w="930" w:type="dxa"/>
            <w:vMerge w:val="restart"/>
            <w:noWrap w:val="0"/>
            <w:vAlign w:val="center"/>
          </w:tcPr>
          <w:p>
            <w:pPr>
              <w:widowControl/>
              <w:snapToGrid w:val="0"/>
              <w:spacing w:line="240" w:lineRule="atLeast"/>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建设</w:t>
            </w:r>
          </w:p>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时限</w:t>
            </w:r>
          </w:p>
        </w:tc>
        <w:tc>
          <w:tcPr>
            <w:tcW w:w="885" w:type="dxa"/>
            <w:vMerge w:val="restart"/>
            <w:noWrap w:val="0"/>
            <w:vAlign w:val="center"/>
          </w:tcPr>
          <w:p>
            <w:pPr>
              <w:widowControl/>
              <w:snapToGrid w:val="0"/>
              <w:spacing w:line="240" w:lineRule="atLeast"/>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负责</w:t>
            </w:r>
          </w:p>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部门</w:t>
            </w:r>
          </w:p>
        </w:tc>
        <w:tc>
          <w:tcPr>
            <w:tcW w:w="1035" w:type="dxa"/>
            <w:vMerge w:val="restart"/>
            <w:noWrap w:val="0"/>
            <w:vAlign w:val="center"/>
          </w:tcPr>
          <w:p>
            <w:pPr>
              <w:widowControl/>
              <w:snapToGrid w:val="0"/>
              <w:spacing w:line="240" w:lineRule="atLeast"/>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改善灌溉面积</w:t>
            </w:r>
          </w:p>
          <w:p>
            <w:pPr>
              <w:widowControl/>
              <w:snapToGrid w:val="0"/>
              <w:spacing w:line="240" w:lineRule="atLeast"/>
              <w:jc w:val="both"/>
              <w:rPr>
                <w:rFonts w:ascii="方正仿宋_GBK" w:hAnsi="宋体" w:eastAsia="方正仿宋_GBK" w:cs="宋体"/>
                <w:kern w:val="0"/>
                <w:sz w:val="21"/>
                <w:szCs w:val="21"/>
              </w:rPr>
            </w:pPr>
            <w:r>
              <w:rPr>
                <w:rFonts w:hint="eastAsia" w:ascii="方正仿宋_GBK" w:hAnsi="宋体" w:eastAsia="方正仿宋_GBK" w:cs="宋体"/>
                <w:kern w:val="0"/>
                <w:sz w:val="21"/>
                <w:szCs w:val="21"/>
                <w:lang w:eastAsia="zh-CN"/>
              </w:rPr>
              <w:t>（</w:t>
            </w:r>
            <w:r>
              <w:rPr>
                <w:rFonts w:hint="eastAsia" w:ascii="方正仿宋_GBK" w:hAnsi="宋体" w:eastAsia="方正仿宋_GBK" w:cs="宋体"/>
                <w:kern w:val="0"/>
                <w:sz w:val="21"/>
                <w:szCs w:val="21"/>
              </w:rPr>
              <w:t>万亩</w:t>
            </w:r>
            <w:r>
              <w:rPr>
                <w:rFonts w:hint="eastAsia" w:ascii="方正仿宋_GBK" w:hAnsi="宋体" w:eastAsia="方正仿宋_GBK" w:cs="宋体"/>
                <w:kern w:val="0"/>
                <w:sz w:val="21"/>
                <w:szCs w:val="21"/>
                <w:lang w:eastAsia="zh-CN"/>
              </w:rPr>
              <w:t>）</w:t>
            </w:r>
          </w:p>
        </w:tc>
        <w:tc>
          <w:tcPr>
            <w:tcW w:w="960" w:type="dxa"/>
            <w:vMerge w:val="restart"/>
            <w:noWrap w:val="0"/>
            <w:vAlign w:val="center"/>
          </w:tcPr>
          <w:p>
            <w:pPr>
              <w:widowControl/>
              <w:snapToGrid w:val="0"/>
              <w:spacing w:line="240" w:lineRule="atLeast"/>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新增灌溉面积</w:t>
            </w:r>
          </w:p>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lang w:eastAsia="zh-CN"/>
              </w:rPr>
              <w:t>（</w:t>
            </w:r>
            <w:r>
              <w:rPr>
                <w:rFonts w:hint="eastAsia" w:ascii="方正仿宋_GBK" w:hAnsi="宋体" w:eastAsia="方正仿宋_GBK" w:cs="宋体"/>
                <w:kern w:val="0"/>
                <w:sz w:val="21"/>
                <w:szCs w:val="21"/>
              </w:rPr>
              <w:t>万亩</w:t>
            </w:r>
            <w:r>
              <w:rPr>
                <w:rFonts w:hint="eastAsia" w:ascii="方正仿宋_GBK" w:hAnsi="宋体" w:eastAsia="方正仿宋_GBK" w:cs="宋体"/>
                <w:kern w:val="0"/>
                <w:sz w:val="21"/>
                <w:szCs w:val="21"/>
                <w:lang w:eastAsia="zh-CN"/>
              </w:rPr>
              <w:t>）</w:t>
            </w:r>
          </w:p>
        </w:tc>
        <w:tc>
          <w:tcPr>
            <w:tcW w:w="1125" w:type="dxa"/>
            <w:vMerge w:val="restart"/>
            <w:noWrap w:val="0"/>
            <w:vAlign w:val="center"/>
          </w:tcPr>
          <w:p>
            <w:pPr>
              <w:widowControl/>
              <w:snapToGrid w:val="0"/>
              <w:spacing w:line="240" w:lineRule="atLeast"/>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年节</w:t>
            </w:r>
          </w:p>
          <w:p>
            <w:pPr>
              <w:widowControl/>
              <w:snapToGrid w:val="0"/>
              <w:spacing w:line="240" w:lineRule="atLeast"/>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水量</w:t>
            </w:r>
          </w:p>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lang w:eastAsia="zh-CN"/>
              </w:rPr>
              <w:t>（</w:t>
            </w:r>
            <w:r>
              <w:rPr>
                <w:rFonts w:hint="eastAsia" w:ascii="方正仿宋_GBK" w:hAnsi="宋体" w:eastAsia="方正仿宋_GBK" w:cs="宋体"/>
                <w:kern w:val="0"/>
                <w:sz w:val="21"/>
                <w:szCs w:val="21"/>
              </w:rPr>
              <w:t>万m</w:t>
            </w:r>
            <w:r>
              <w:rPr>
                <w:rFonts w:hint="eastAsia" w:ascii="方正仿宋_GBK" w:hAnsi="宋体" w:eastAsia="方正仿宋_GBK" w:cs="宋体"/>
                <w:kern w:val="0"/>
                <w:sz w:val="21"/>
                <w:szCs w:val="21"/>
                <w:vertAlign w:val="superscript"/>
              </w:rPr>
              <w:t>3</w:t>
            </w:r>
            <w:r>
              <w:rPr>
                <w:rFonts w:hint="eastAsia" w:ascii="方正仿宋_GBK" w:hAnsi="宋体" w:eastAsia="方正仿宋_GBK" w:cs="宋体"/>
                <w:kern w:val="0"/>
                <w:sz w:val="21"/>
                <w:szCs w:val="21"/>
                <w:lang w:eastAsia="zh-CN"/>
              </w:rPr>
              <w:t>）</w:t>
            </w:r>
          </w:p>
        </w:tc>
        <w:tc>
          <w:tcPr>
            <w:tcW w:w="1050" w:type="dxa"/>
            <w:vMerge w:val="restart"/>
            <w:noWrap w:val="0"/>
            <w:vAlign w:val="center"/>
          </w:tcPr>
          <w:p>
            <w:pPr>
              <w:widowControl/>
              <w:snapToGrid w:val="0"/>
              <w:spacing w:line="240" w:lineRule="atLeast"/>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总投资</w:t>
            </w:r>
          </w:p>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lang w:eastAsia="zh-CN"/>
              </w:rPr>
              <w:t>（</w:t>
            </w:r>
            <w:r>
              <w:rPr>
                <w:rFonts w:hint="eastAsia" w:ascii="方正仿宋_GBK" w:hAnsi="宋体" w:eastAsia="方正仿宋_GBK" w:cs="宋体"/>
                <w:kern w:val="0"/>
                <w:sz w:val="21"/>
                <w:szCs w:val="21"/>
              </w:rPr>
              <w:t>万元</w:t>
            </w:r>
            <w:r>
              <w:rPr>
                <w:rFonts w:hint="eastAsia" w:ascii="方正仿宋_GBK" w:hAnsi="宋体" w:eastAsia="方正仿宋_GBK" w:cs="宋体"/>
                <w:kern w:val="0"/>
                <w:sz w:val="21"/>
                <w:szCs w:val="21"/>
                <w:lang w:eastAsia="zh-CN"/>
              </w:rPr>
              <w:t>）</w:t>
            </w:r>
          </w:p>
        </w:tc>
        <w:tc>
          <w:tcPr>
            <w:tcW w:w="1830" w:type="dxa"/>
            <w:gridSpan w:val="3"/>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投资渠道</w:t>
            </w:r>
          </w:p>
        </w:tc>
        <w:tc>
          <w:tcPr>
            <w:tcW w:w="960" w:type="dxa"/>
            <w:vMerge w:val="restart"/>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9" w:type="dxa"/>
            <w:vMerge w:val="continue"/>
            <w:noWrap w:val="0"/>
            <w:vAlign w:val="center"/>
          </w:tcPr>
          <w:p>
            <w:pPr>
              <w:widowControl/>
              <w:snapToGrid w:val="0"/>
              <w:spacing w:line="240" w:lineRule="atLeast"/>
              <w:jc w:val="center"/>
              <w:rPr>
                <w:rFonts w:ascii="方正仿宋_GBK" w:hAnsi="宋体" w:eastAsia="方正仿宋_GBK" w:cs="宋体"/>
                <w:kern w:val="0"/>
                <w:sz w:val="21"/>
                <w:szCs w:val="21"/>
              </w:rPr>
            </w:pPr>
          </w:p>
        </w:tc>
        <w:tc>
          <w:tcPr>
            <w:tcW w:w="903" w:type="dxa"/>
            <w:vMerge w:val="continue"/>
            <w:noWrap w:val="0"/>
            <w:vAlign w:val="center"/>
          </w:tcPr>
          <w:p>
            <w:pPr>
              <w:widowControl/>
              <w:snapToGrid w:val="0"/>
              <w:spacing w:line="240" w:lineRule="atLeast"/>
              <w:jc w:val="center"/>
              <w:rPr>
                <w:rFonts w:ascii="方正仿宋_GBK" w:hAnsi="宋体" w:eastAsia="方正仿宋_GBK" w:cs="宋体"/>
                <w:kern w:val="0"/>
                <w:sz w:val="21"/>
                <w:szCs w:val="21"/>
              </w:rPr>
            </w:pPr>
          </w:p>
        </w:tc>
        <w:tc>
          <w:tcPr>
            <w:tcW w:w="974" w:type="dxa"/>
            <w:vMerge w:val="continue"/>
            <w:noWrap w:val="0"/>
            <w:vAlign w:val="center"/>
          </w:tcPr>
          <w:p>
            <w:pPr>
              <w:widowControl/>
              <w:snapToGrid w:val="0"/>
              <w:spacing w:line="240" w:lineRule="atLeast"/>
              <w:jc w:val="center"/>
              <w:rPr>
                <w:rFonts w:ascii="方正仿宋_GBK" w:hAnsi="宋体" w:eastAsia="方正仿宋_GBK" w:cs="宋体"/>
                <w:kern w:val="0"/>
                <w:sz w:val="21"/>
                <w:szCs w:val="21"/>
              </w:rPr>
            </w:pPr>
          </w:p>
        </w:tc>
        <w:tc>
          <w:tcPr>
            <w:tcW w:w="975" w:type="dxa"/>
            <w:vMerge w:val="continue"/>
            <w:noWrap w:val="0"/>
            <w:vAlign w:val="center"/>
          </w:tcPr>
          <w:p>
            <w:pPr>
              <w:widowControl/>
              <w:snapToGrid w:val="0"/>
              <w:spacing w:line="240" w:lineRule="atLeast"/>
              <w:jc w:val="center"/>
              <w:rPr>
                <w:rFonts w:ascii="方正仿宋_GBK" w:hAnsi="宋体" w:eastAsia="方正仿宋_GBK" w:cs="宋体"/>
                <w:kern w:val="0"/>
                <w:sz w:val="21"/>
                <w:szCs w:val="21"/>
              </w:rPr>
            </w:pPr>
          </w:p>
        </w:tc>
        <w:tc>
          <w:tcPr>
            <w:tcW w:w="1875" w:type="dxa"/>
            <w:vMerge w:val="continue"/>
            <w:noWrap w:val="0"/>
            <w:vAlign w:val="center"/>
          </w:tcPr>
          <w:p>
            <w:pPr>
              <w:widowControl/>
              <w:snapToGrid w:val="0"/>
              <w:spacing w:line="240" w:lineRule="atLeast"/>
              <w:jc w:val="center"/>
              <w:rPr>
                <w:rFonts w:ascii="方正仿宋_GBK" w:hAnsi="宋体" w:eastAsia="方正仿宋_GBK" w:cs="宋体"/>
                <w:kern w:val="0"/>
                <w:sz w:val="21"/>
                <w:szCs w:val="21"/>
              </w:rPr>
            </w:pPr>
          </w:p>
        </w:tc>
        <w:tc>
          <w:tcPr>
            <w:tcW w:w="930" w:type="dxa"/>
            <w:vMerge w:val="continue"/>
            <w:noWrap w:val="0"/>
            <w:vAlign w:val="center"/>
          </w:tcPr>
          <w:p>
            <w:pPr>
              <w:widowControl/>
              <w:snapToGrid w:val="0"/>
              <w:spacing w:line="240" w:lineRule="atLeast"/>
              <w:jc w:val="center"/>
              <w:rPr>
                <w:rFonts w:ascii="方正仿宋_GBK" w:hAnsi="宋体" w:eastAsia="方正仿宋_GBK" w:cs="宋体"/>
                <w:kern w:val="0"/>
                <w:sz w:val="21"/>
                <w:szCs w:val="21"/>
              </w:rPr>
            </w:pPr>
          </w:p>
        </w:tc>
        <w:tc>
          <w:tcPr>
            <w:tcW w:w="885" w:type="dxa"/>
            <w:vMerge w:val="continue"/>
            <w:noWrap w:val="0"/>
            <w:vAlign w:val="center"/>
          </w:tcPr>
          <w:p>
            <w:pPr>
              <w:widowControl/>
              <w:snapToGrid w:val="0"/>
              <w:spacing w:line="240" w:lineRule="atLeast"/>
              <w:jc w:val="center"/>
              <w:rPr>
                <w:rFonts w:ascii="方正仿宋_GBK" w:hAnsi="宋体" w:eastAsia="方正仿宋_GBK" w:cs="宋体"/>
                <w:kern w:val="0"/>
                <w:sz w:val="21"/>
                <w:szCs w:val="21"/>
              </w:rPr>
            </w:pPr>
          </w:p>
        </w:tc>
        <w:tc>
          <w:tcPr>
            <w:tcW w:w="1035" w:type="dxa"/>
            <w:vMerge w:val="continue"/>
            <w:noWrap w:val="0"/>
            <w:vAlign w:val="center"/>
          </w:tcPr>
          <w:p>
            <w:pPr>
              <w:widowControl/>
              <w:snapToGrid w:val="0"/>
              <w:spacing w:line="240" w:lineRule="atLeast"/>
              <w:jc w:val="center"/>
              <w:rPr>
                <w:rFonts w:ascii="方正仿宋_GBK" w:hAnsi="宋体" w:eastAsia="方正仿宋_GBK" w:cs="宋体"/>
                <w:kern w:val="0"/>
                <w:sz w:val="21"/>
                <w:szCs w:val="21"/>
              </w:rPr>
            </w:pPr>
          </w:p>
        </w:tc>
        <w:tc>
          <w:tcPr>
            <w:tcW w:w="960" w:type="dxa"/>
            <w:vMerge w:val="continue"/>
            <w:noWrap w:val="0"/>
            <w:vAlign w:val="center"/>
          </w:tcPr>
          <w:p>
            <w:pPr>
              <w:widowControl/>
              <w:snapToGrid w:val="0"/>
              <w:spacing w:line="240" w:lineRule="atLeast"/>
              <w:jc w:val="center"/>
              <w:rPr>
                <w:rFonts w:ascii="方正仿宋_GBK" w:hAnsi="宋体" w:eastAsia="方正仿宋_GBK" w:cs="宋体"/>
                <w:kern w:val="0"/>
                <w:sz w:val="21"/>
                <w:szCs w:val="21"/>
              </w:rPr>
            </w:pPr>
          </w:p>
        </w:tc>
        <w:tc>
          <w:tcPr>
            <w:tcW w:w="1125" w:type="dxa"/>
            <w:vMerge w:val="continue"/>
            <w:noWrap w:val="0"/>
            <w:vAlign w:val="center"/>
          </w:tcPr>
          <w:p>
            <w:pPr>
              <w:widowControl/>
              <w:snapToGrid w:val="0"/>
              <w:spacing w:line="240" w:lineRule="atLeast"/>
              <w:jc w:val="center"/>
              <w:rPr>
                <w:rFonts w:ascii="方正仿宋_GBK" w:hAnsi="宋体" w:eastAsia="方正仿宋_GBK" w:cs="宋体"/>
                <w:kern w:val="0"/>
                <w:sz w:val="21"/>
                <w:szCs w:val="21"/>
              </w:rPr>
            </w:pPr>
          </w:p>
        </w:tc>
        <w:tc>
          <w:tcPr>
            <w:tcW w:w="1050" w:type="dxa"/>
            <w:vMerge w:val="continue"/>
            <w:noWrap w:val="0"/>
            <w:vAlign w:val="center"/>
          </w:tcPr>
          <w:p>
            <w:pPr>
              <w:widowControl/>
              <w:snapToGrid w:val="0"/>
              <w:spacing w:line="240" w:lineRule="atLeast"/>
              <w:jc w:val="center"/>
              <w:rPr>
                <w:rFonts w:ascii="方正仿宋_GBK" w:hAnsi="宋体" w:eastAsia="方正仿宋_GBK" w:cs="宋体"/>
                <w:kern w:val="0"/>
                <w:sz w:val="21"/>
                <w:szCs w:val="21"/>
              </w:rPr>
            </w:pPr>
          </w:p>
        </w:tc>
        <w:tc>
          <w:tcPr>
            <w:tcW w:w="60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企业</w:t>
            </w:r>
          </w:p>
        </w:tc>
        <w:tc>
          <w:tcPr>
            <w:tcW w:w="60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地方</w:t>
            </w:r>
          </w:p>
        </w:tc>
        <w:tc>
          <w:tcPr>
            <w:tcW w:w="63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国家</w:t>
            </w:r>
          </w:p>
        </w:tc>
        <w:tc>
          <w:tcPr>
            <w:tcW w:w="960" w:type="dxa"/>
            <w:vMerge w:val="continue"/>
            <w:noWrap w:val="0"/>
            <w:vAlign w:val="center"/>
          </w:tcPr>
          <w:p>
            <w:pPr>
              <w:widowControl/>
              <w:snapToGrid w:val="0"/>
              <w:spacing w:line="240" w:lineRule="atLeast"/>
              <w:jc w:val="center"/>
              <w:rPr>
                <w:rFonts w:ascii="方正仿宋_GBK" w:hAnsi="宋体" w:eastAsia="方正仿宋_GBK"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469"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w:t>
            </w:r>
          </w:p>
        </w:tc>
        <w:tc>
          <w:tcPr>
            <w:tcW w:w="903"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中型灌区高效节水灌溉工程</w:t>
            </w:r>
          </w:p>
        </w:tc>
        <w:tc>
          <w:tcPr>
            <w:tcW w:w="974"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花滩水库灌区整治工程</w:t>
            </w:r>
          </w:p>
        </w:tc>
        <w:tc>
          <w:tcPr>
            <w:tcW w:w="97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永川区三教镇、板桥镇</w:t>
            </w:r>
          </w:p>
        </w:tc>
        <w:tc>
          <w:tcPr>
            <w:tcW w:w="1875" w:type="dxa"/>
            <w:vMerge w:val="restart"/>
            <w:noWrap w:val="0"/>
            <w:vAlign w:val="center"/>
          </w:tcPr>
          <w:p>
            <w:pPr>
              <w:widowControl/>
              <w:snapToGrid w:val="0"/>
              <w:spacing w:line="240" w:lineRule="atLeast"/>
              <w:jc w:val="left"/>
              <w:rPr>
                <w:rFonts w:ascii="方正仿宋_GBK" w:hAnsi="宋体" w:eastAsia="方正仿宋_GBK" w:cs="宋体"/>
                <w:kern w:val="0"/>
                <w:sz w:val="21"/>
                <w:szCs w:val="21"/>
              </w:rPr>
            </w:pPr>
            <w:r>
              <w:rPr>
                <w:rFonts w:hint="eastAsia" w:ascii="方正仿宋_GBK" w:hAnsi="宋体" w:eastAsia="方正仿宋_GBK" w:cs="宋体"/>
                <w:kern w:val="0"/>
                <w:sz w:val="21"/>
                <w:szCs w:val="21"/>
              </w:rPr>
              <w:t>花滩水库灌区整治工程 分别对花滩、双河口、上游、卫星灌区内实施水库管道输水，防水建筑整治，泵站以及量水设施建设以及升级改造</w:t>
            </w:r>
          </w:p>
        </w:tc>
        <w:tc>
          <w:tcPr>
            <w:tcW w:w="930" w:type="dxa"/>
            <w:noWrap w:val="0"/>
            <w:vAlign w:val="center"/>
          </w:tcPr>
          <w:p>
            <w:pPr>
              <w:widowControl/>
              <w:snapToGrid w:val="0"/>
              <w:spacing w:line="240" w:lineRule="atLeast"/>
              <w:jc w:val="center"/>
              <w:rPr>
                <w:rFonts w:hint="eastAsia" w:ascii="方正仿宋_GBK" w:hAnsi="宋体" w:eastAsia="方正仿宋_GBK" w:cs="宋体"/>
                <w:kern w:val="0"/>
                <w:sz w:val="21"/>
                <w:szCs w:val="21"/>
                <w:lang w:eastAsia="zh-CN"/>
              </w:rPr>
            </w:pPr>
            <w:r>
              <w:rPr>
                <w:rFonts w:hint="eastAsia" w:ascii="方正仿宋_GBK" w:hAnsi="宋体" w:eastAsia="方正仿宋_GBK" w:cs="宋体"/>
                <w:kern w:val="0"/>
                <w:sz w:val="21"/>
                <w:szCs w:val="21"/>
              </w:rPr>
              <w:t>2021</w:t>
            </w:r>
            <w:r>
              <w:rPr>
                <w:rFonts w:hint="eastAsia" w:ascii="方正仿宋_GBK" w:hAnsi="宋体" w:eastAsia="方正仿宋_GBK" w:cs="宋体"/>
                <w:kern w:val="0"/>
                <w:sz w:val="21"/>
                <w:szCs w:val="21"/>
                <w:lang w:eastAsia="zh-CN"/>
              </w:rPr>
              <w:t>年</w:t>
            </w:r>
          </w:p>
        </w:tc>
        <w:tc>
          <w:tcPr>
            <w:tcW w:w="88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水利局</w:t>
            </w:r>
          </w:p>
        </w:tc>
        <w:tc>
          <w:tcPr>
            <w:tcW w:w="103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1600</w:t>
            </w:r>
          </w:p>
        </w:tc>
        <w:tc>
          <w:tcPr>
            <w:tcW w:w="96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112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114</w:t>
            </w:r>
          </w:p>
        </w:tc>
        <w:tc>
          <w:tcPr>
            <w:tcW w:w="105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1500</w:t>
            </w:r>
          </w:p>
        </w:tc>
        <w:tc>
          <w:tcPr>
            <w:tcW w:w="600" w:type="dxa"/>
            <w:noWrap/>
            <w:vAlign w:val="center"/>
          </w:tcPr>
          <w:p>
            <w:pPr>
              <w:widowControl/>
              <w:snapToGrid w:val="0"/>
              <w:spacing w:line="240" w:lineRule="atLeast"/>
              <w:jc w:val="center"/>
              <w:rPr>
                <w:rFonts w:ascii="宋体" w:hAnsi="宋体" w:eastAsia="宋体" w:cs="宋体"/>
                <w:kern w:val="0"/>
                <w:sz w:val="21"/>
                <w:szCs w:val="21"/>
              </w:rPr>
            </w:pPr>
          </w:p>
        </w:tc>
        <w:tc>
          <w:tcPr>
            <w:tcW w:w="60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63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960" w:type="dxa"/>
            <w:vMerge w:val="restart"/>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已纳入《永川区“十四五”水安全保障规划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jc w:val="center"/>
        </w:trPr>
        <w:tc>
          <w:tcPr>
            <w:tcW w:w="469"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2</w:t>
            </w:r>
          </w:p>
        </w:tc>
        <w:tc>
          <w:tcPr>
            <w:tcW w:w="903"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中型灌区高效节水灌溉工程</w:t>
            </w:r>
          </w:p>
        </w:tc>
        <w:tc>
          <w:tcPr>
            <w:tcW w:w="974"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双河口灌区整治工程</w:t>
            </w:r>
          </w:p>
        </w:tc>
        <w:tc>
          <w:tcPr>
            <w:tcW w:w="97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永川区永荣镇</w:t>
            </w:r>
          </w:p>
        </w:tc>
        <w:tc>
          <w:tcPr>
            <w:tcW w:w="1875" w:type="dxa"/>
            <w:vMerge w:val="continue"/>
            <w:noWrap w:val="0"/>
            <w:vAlign w:val="center"/>
          </w:tcPr>
          <w:p>
            <w:pPr>
              <w:widowControl/>
              <w:snapToGrid w:val="0"/>
              <w:spacing w:line="240" w:lineRule="atLeast"/>
              <w:jc w:val="left"/>
              <w:rPr>
                <w:rFonts w:ascii="方正仿宋_GBK" w:hAnsi="宋体" w:eastAsia="方正仿宋_GBK" w:cs="宋体"/>
                <w:kern w:val="0"/>
                <w:sz w:val="21"/>
                <w:szCs w:val="21"/>
              </w:rPr>
            </w:pPr>
          </w:p>
        </w:tc>
        <w:tc>
          <w:tcPr>
            <w:tcW w:w="93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2022年</w:t>
            </w:r>
          </w:p>
        </w:tc>
        <w:tc>
          <w:tcPr>
            <w:tcW w:w="88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水利局</w:t>
            </w:r>
          </w:p>
        </w:tc>
        <w:tc>
          <w:tcPr>
            <w:tcW w:w="103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1500</w:t>
            </w:r>
          </w:p>
        </w:tc>
        <w:tc>
          <w:tcPr>
            <w:tcW w:w="96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112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112</w:t>
            </w:r>
          </w:p>
        </w:tc>
        <w:tc>
          <w:tcPr>
            <w:tcW w:w="105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1500</w:t>
            </w:r>
          </w:p>
        </w:tc>
        <w:tc>
          <w:tcPr>
            <w:tcW w:w="60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60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63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960" w:type="dxa"/>
            <w:vMerge w:val="continue"/>
            <w:noWrap w:val="0"/>
            <w:vAlign w:val="center"/>
          </w:tcPr>
          <w:p>
            <w:pPr>
              <w:snapToGrid w:val="0"/>
              <w:spacing w:line="240" w:lineRule="atLeast"/>
              <w:jc w:val="center"/>
              <w:rPr>
                <w:rFonts w:ascii="方正仿宋_GBK" w:hAnsi="宋体" w:eastAsia="方正仿宋_GBK"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jc w:val="center"/>
        </w:trPr>
        <w:tc>
          <w:tcPr>
            <w:tcW w:w="469"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3</w:t>
            </w:r>
          </w:p>
        </w:tc>
        <w:tc>
          <w:tcPr>
            <w:tcW w:w="903"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中型灌区高效节水灌溉工程</w:t>
            </w:r>
          </w:p>
        </w:tc>
        <w:tc>
          <w:tcPr>
            <w:tcW w:w="974"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上游水库灌区整治工程</w:t>
            </w:r>
          </w:p>
        </w:tc>
        <w:tc>
          <w:tcPr>
            <w:tcW w:w="97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永川区何埂镇</w:t>
            </w:r>
          </w:p>
        </w:tc>
        <w:tc>
          <w:tcPr>
            <w:tcW w:w="1875" w:type="dxa"/>
            <w:vMerge w:val="continue"/>
            <w:noWrap w:val="0"/>
            <w:vAlign w:val="center"/>
          </w:tcPr>
          <w:p>
            <w:pPr>
              <w:widowControl/>
              <w:snapToGrid w:val="0"/>
              <w:spacing w:line="240" w:lineRule="atLeast"/>
              <w:jc w:val="left"/>
              <w:rPr>
                <w:rFonts w:ascii="方正仿宋_GBK" w:hAnsi="宋体" w:eastAsia="方正仿宋_GBK" w:cs="宋体"/>
                <w:kern w:val="0"/>
                <w:sz w:val="21"/>
                <w:szCs w:val="21"/>
              </w:rPr>
            </w:pPr>
          </w:p>
        </w:tc>
        <w:tc>
          <w:tcPr>
            <w:tcW w:w="93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2022年</w:t>
            </w:r>
          </w:p>
        </w:tc>
        <w:tc>
          <w:tcPr>
            <w:tcW w:w="88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水利局</w:t>
            </w:r>
          </w:p>
        </w:tc>
        <w:tc>
          <w:tcPr>
            <w:tcW w:w="103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1800</w:t>
            </w:r>
          </w:p>
        </w:tc>
        <w:tc>
          <w:tcPr>
            <w:tcW w:w="96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112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135</w:t>
            </w:r>
          </w:p>
        </w:tc>
        <w:tc>
          <w:tcPr>
            <w:tcW w:w="105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1500</w:t>
            </w:r>
          </w:p>
        </w:tc>
        <w:tc>
          <w:tcPr>
            <w:tcW w:w="60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60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63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960" w:type="dxa"/>
            <w:vMerge w:val="continue"/>
            <w:noWrap w:val="0"/>
            <w:vAlign w:val="center"/>
          </w:tcPr>
          <w:p>
            <w:pPr>
              <w:snapToGrid w:val="0"/>
              <w:spacing w:line="240" w:lineRule="atLeast"/>
              <w:jc w:val="center"/>
              <w:rPr>
                <w:rFonts w:ascii="方正仿宋_GBK" w:hAnsi="宋体" w:eastAsia="方正仿宋_GBK"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469"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4</w:t>
            </w:r>
          </w:p>
        </w:tc>
        <w:tc>
          <w:tcPr>
            <w:tcW w:w="903"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中型灌区高效节水灌溉工程</w:t>
            </w:r>
          </w:p>
        </w:tc>
        <w:tc>
          <w:tcPr>
            <w:tcW w:w="974"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卫星湖水库灌区整治工程</w:t>
            </w:r>
          </w:p>
        </w:tc>
        <w:tc>
          <w:tcPr>
            <w:tcW w:w="97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永川区卫星湖街道</w:t>
            </w:r>
          </w:p>
        </w:tc>
        <w:tc>
          <w:tcPr>
            <w:tcW w:w="1875" w:type="dxa"/>
            <w:vMerge w:val="continue"/>
            <w:noWrap w:val="0"/>
            <w:vAlign w:val="center"/>
          </w:tcPr>
          <w:p>
            <w:pPr>
              <w:widowControl/>
              <w:snapToGrid w:val="0"/>
              <w:spacing w:line="240" w:lineRule="atLeast"/>
              <w:jc w:val="left"/>
              <w:rPr>
                <w:rFonts w:ascii="方正仿宋_GBK" w:hAnsi="宋体" w:eastAsia="方正仿宋_GBK" w:cs="宋体"/>
                <w:kern w:val="0"/>
                <w:sz w:val="21"/>
                <w:szCs w:val="21"/>
              </w:rPr>
            </w:pPr>
          </w:p>
        </w:tc>
        <w:tc>
          <w:tcPr>
            <w:tcW w:w="93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2023年</w:t>
            </w:r>
          </w:p>
        </w:tc>
        <w:tc>
          <w:tcPr>
            <w:tcW w:w="88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水利局</w:t>
            </w:r>
          </w:p>
        </w:tc>
        <w:tc>
          <w:tcPr>
            <w:tcW w:w="103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1200</w:t>
            </w:r>
          </w:p>
        </w:tc>
        <w:tc>
          <w:tcPr>
            <w:tcW w:w="96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112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88</w:t>
            </w:r>
          </w:p>
        </w:tc>
        <w:tc>
          <w:tcPr>
            <w:tcW w:w="105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1500</w:t>
            </w:r>
          </w:p>
        </w:tc>
        <w:tc>
          <w:tcPr>
            <w:tcW w:w="60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60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63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960" w:type="dxa"/>
            <w:vMerge w:val="continue"/>
            <w:noWrap w:val="0"/>
            <w:vAlign w:val="center"/>
          </w:tcPr>
          <w:p>
            <w:pPr>
              <w:snapToGrid w:val="0"/>
              <w:spacing w:line="240" w:lineRule="atLeast"/>
              <w:jc w:val="center"/>
              <w:rPr>
                <w:rFonts w:ascii="方正仿宋_GBK" w:hAnsi="宋体" w:eastAsia="方正仿宋_GBK"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469"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5</w:t>
            </w:r>
          </w:p>
        </w:tc>
        <w:tc>
          <w:tcPr>
            <w:tcW w:w="903"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974"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灌区智能化升级改造项目</w:t>
            </w:r>
          </w:p>
        </w:tc>
        <w:tc>
          <w:tcPr>
            <w:tcW w:w="97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永川区</w:t>
            </w:r>
          </w:p>
        </w:tc>
        <w:tc>
          <w:tcPr>
            <w:tcW w:w="1875" w:type="dxa"/>
            <w:noWrap w:val="0"/>
            <w:vAlign w:val="center"/>
          </w:tcPr>
          <w:p>
            <w:pPr>
              <w:widowControl/>
              <w:snapToGrid w:val="0"/>
              <w:spacing w:line="240" w:lineRule="atLeast"/>
              <w:jc w:val="left"/>
              <w:rPr>
                <w:rFonts w:ascii="方正仿宋_GBK" w:hAnsi="宋体" w:eastAsia="方正仿宋_GBK" w:cs="宋体"/>
                <w:kern w:val="0"/>
                <w:sz w:val="21"/>
                <w:szCs w:val="21"/>
              </w:rPr>
            </w:pPr>
            <w:r>
              <w:rPr>
                <w:rFonts w:hint="eastAsia" w:ascii="方正仿宋_GBK" w:hAnsi="宋体" w:eastAsia="方正仿宋_GBK" w:cs="宋体"/>
                <w:kern w:val="0"/>
                <w:sz w:val="21"/>
                <w:szCs w:val="21"/>
              </w:rPr>
              <w:t>对渠道流量大于1m</w:t>
            </w:r>
            <w:r>
              <w:rPr>
                <w:rFonts w:hint="eastAsia" w:ascii="方正仿宋_GBK" w:hAnsi="宋体" w:eastAsia="方正仿宋_GBK" w:cs="宋体"/>
                <w:kern w:val="0"/>
                <w:sz w:val="21"/>
                <w:szCs w:val="21"/>
                <w:vertAlign w:val="superscript"/>
              </w:rPr>
              <w:t>3</w:t>
            </w:r>
            <w:r>
              <w:rPr>
                <w:rFonts w:hint="eastAsia" w:ascii="方正仿宋_GBK" w:hAnsi="宋体" w:eastAsia="方正仿宋_GBK" w:cs="宋体"/>
                <w:kern w:val="0"/>
                <w:sz w:val="21"/>
                <w:szCs w:val="21"/>
              </w:rPr>
              <w:t>/s的渠道实施流量、水位、水量的自动化监测</w:t>
            </w:r>
          </w:p>
        </w:tc>
        <w:tc>
          <w:tcPr>
            <w:tcW w:w="93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2022年</w:t>
            </w:r>
          </w:p>
        </w:tc>
        <w:tc>
          <w:tcPr>
            <w:tcW w:w="88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水利局</w:t>
            </w:r>
          </w:p>
        </w:tc>
        <w:tc>
          <w:tcPr>
            <w:tcW w:w="103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96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112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112</w:t>
            </w:r>
          </w:p>
        </w:tc>
        <w:tc>
          <w:tcPr>
            <w:tcW w:w="105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2000</w:t>
            </w:r>
          </w:p>
        </w:tc>
        <w:tc>
          <w:tcPr>
            <w:tcW w:w="60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60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63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960" w:type="dxa"/>
            <w:vMerge w:val="continue"/>
            <w:noWrap w:val="0"/>
            <w:vAlign w:val="center"/>
          </w:tcPr>
          <w:p>
            <w:pPr>
              <w:snapToGrid w:val="0"/>
              <w:spacing w:line="240" w:lineRule="atLeast"/>
              <w:jc w:val="center"/>
              <w:rPr>
                <w:rFonts w:ascii="方正仿宋_GBK" w:hAnsi="宋体" w:eastAsia="方正仿宋_GBK"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6</w:t>
            </w:r>
          </w:p>
        </w:tc>
        <w:tc>
          <w:tcPr>
            <w:tcW w:w="903"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974"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农业水价综合改革项目</w:t>
            </w:r>
          </w:p>
        </w:tc>
        <w:tc>
          <w:tcPr>
            <w:tcW w:w="97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永川区</w:t>
            </w:r>
          </w:p>
        </w:tc>
        <w:tc>
          <w:tcPr>
            <w:tcW w:w="1875" w:type="dxa"/>
            <w:noWrap w:val="0"/>
            <w:vAlign w:val="center"/>
          </w:tcPr>
          <w:p>
            <w:pPr>
              <w:widowControl/>
              <w:snapToGrid w:val="0"/>
              <w:spacing w:line="240" w:lineRule="atLeast"/>
              <w:jc w:val="left"/>
              <w:rPr>
                <w:rFonts w:ascii="方正仿宋_GBK" w:hAnsi="宋体" w:eastAsia="方正仿宋_GBK" w:cs="宋体"/>
                <w:kern w:val="0"/>
                <w:sz w:val="21"/>
                <w:szCs w:val="21"/>
              </w:rPr>
            </w:pPr>
            <w:r>
              <w:rPr>
                <w:rFonts w:hint="eastAsia" w:ascii="方正仿宋_GBK" w:hAnsi="宋体" w:eastAsia="方正仿宋_GBK" w:cs="宋体"/>
                <w:kern w:val="0"/>
                <w:sz w:val="21"/>
                <w:szCs w:val="21"/>
              </w:rPr>
              <w:t>在金龙镇洞子口村、南大街八角寺村、何埂镇、五间镇2万亩农田进行农业水价综合改革工程</w:t>
            </w:r>
          </w:p>
        </w:tc>
        <w:tc>
          <w:tcPr>
            <w:tcW w:w="93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2023年</w:t>
            </w:r>
          </w:p>
        </w:tc>
        <w:tc>
          <w:tcPr>
            <w:tcW w:w="88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水利局</w:t>
            </w:r>
          </w:p>
        </w:tc>
        <w:tc>
          <w:tcPr>
            <w:tcW w:w="103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96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112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85</w:t>
            </w:r>
          </w:p>
        </w:tc>
        <w:tc>
          <w:tcPr>
            <w:tcW w:w="105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2000</w:t>
            </w:r>
          </w:p>
        </w:tc>
        <w:tc>
          <w:tcPr>
            <w:tcW w:w="60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60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63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960" w:type="dxa"/>
            <w:vMerge w:val="continue"/>
            <w:noWrap w:val="0"/>
            <w:vAlign w:val="center"/>
          </w:tcPr>
          <w:p>
            <w:pPr>
              <w:snapToGrid w:val="0"/>
              <w:spacing w:line="240" w:lineRule="atLeast"/>
              <w:jc w:val="center"/>
              <w:rPr>
                <w:rFonts w:ascii="方正仿宋_GBK" w:hAnsi="宋体" w:eastAsia="方正仿宋_GBK"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7</w:t>
            </w:r>
          </w:p>
        </w:tc>
        <w:tc>
          <w:tcPr>
            <w:tcW w:w="903"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小型灌区高效节水灌溉工程</w:t>
            </w:r>
          </w:p>
        </w:tc>
        <w:tc>
          <w:tcPr>
            <w:tcW w:w="974"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2021年～2025年五小水利项目</w:t>
            </w:r>
          </w:p>
        </w:tc>
        <w:tc>
          <w:tcPr>
            <w:tcW w:w="97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永川区</w:t>
            </w:r>
          </w:p>
        </w:tc>
        <w:tc>
          <w:tcPr>
            <w:tcW w:w="1875" w:type="dxa"/>
            <w:noWrap w:val="0"/>
            <w:vAlign w:val="center"/>
          </w:tcPr>
          <w:p>
            <w:pPr>
              <w:widowControl/>
              <w:snapToGrid w:val="0"/>
              <w:spacing w:line="240" w:lineRule="atLeast"/>
              <w:jc w:val="left"/>
              <w:rPr>
                <w:rFonts w:ascii="方正仿宋_GBK" w:hAnsi="宋体" w:eastAsia="方正仿宋_GBK" w:cs="宋体"/>
                <w:kern w:val="0"/>
                <w:sz w:val="21"/>
                <w:szCs w:val="21"/>
              </w:rPr>
            </w:pPr>
            <w:r>
              <w:rPr>
                <w:rFonts w:hint="eastAsia" w:ascii="方正仿宋_GBK" w:hAnsi="宋体" w:eastAsia="方正仿宋_GBK" w:cs="宋体"/>
                <w:kern w:val="0"/>
                <w:sz w:val="21"/>
                <w:szCs w:val="21"/>
              </w:rPr>
              <w:t>水窖、水池、泵站、塘坝、水渠等新建、改建工程</w:t>
            </w:r>
          </w:p>
        </w:tc>
        <w:tc>
          <w:tcPr>
            <w:tcW w:w="93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2021～2025年</w:t>
            </w:r>
          </w:p>
        </w:tc>
        <w:tc>
          <w:tcPr>
            <w:tcW w:w="88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水利局</w:t>
            </w:r>
          </w:p>
        </w:tc>
        <w:tc>
          <w:tcPr>
            <w:tcW w:w="103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4600</w:t>
            </w:r>
          </w:p>
        </w:tc>
        <w:tc>
          <w:tcPr>
            <w:tcW w:w="96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112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320</w:t>
            </w:r>
          </w:p>
        </w:tc>
        <w:tc>
          <w:tcPr>
            <w:tcW w:w="105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58700</w:t>
            </w:r>
          </w:p>
        </w:tc>
        <w:tc>
          <w:tcPr>
            <w:tcW w:w="60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60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63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w:t>
            </w:r>
          </w:p>
        </w:tc>
        <w:tc>
          <w:tcPr>
            <w:tcW w:w="96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已纳入《永川区“十四五”水安全保障规划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372" w:type="dxa"/>
            <w:gridSpan w:val="2"/>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合计</w:t>
            </w:r>
          </w:p>
        </w:tc>
        <w:tc>
          <w:tcPr>
            <w:tcW w:w="974"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97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187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93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88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103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10700</w:t>
            </w:r>
          </w:p>
        </w:tc>
        <w:tc>
          <w:tcPr>
            <w:tcW w:w="96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1125"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966</w:t>
            </w:r>
          </w:p>
        </w:tc>
        <w:tc>
          <w:tcPr>
            <w:tcW w:w="105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68700</w:t>
            </w:r>
          </w:p>
        </w:tc>
        <w:tc>
          <w:tcPr>
            <w:tcW w:w="60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60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63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c>
          <w:tcPr>
            <w:tcW w:w="960" w:type="dxa"/>
            <w:noWrap w:val="0"/>
            <w:vAlign w:val="center"/>
          </w:tcPr>
          <w:p>
            <w:pPr>
              <w:widowControl/>
              <w:snapToGrid w:val="0"/>
              <w:spacing w:line="240" w:lineRule="atLeas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　</w:t>
            </w:r>
          </w:p>
        </w:tc>
      </w:tr>
    </w:tbl>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sectPr>
          <w:pgSz w:w="16838" w:h="11905" w:orient="landscape"/>
          <w:pgMar w:top="1587" w:right="2098" w:bottom="1474" w:left="1984" w:header="851" w:footer="1474" w:gutter="0"/>
          <w:pgNumType w:fmt="numberInDash"/>
          <w:cols w:space="720" w:num="1"/>
          <w:rtlGutter w:val="0"/>
          <w:docGrid w:type="lines" w:linePitch="327" w:charSpace="0"/>
        </w:sectPr>
      </w:pPr>
    </w:p>
    <w:p>
      <w:pPr>
        <w:pageBreakBefore w:val="0"/>
        <w:kinsoku/>
        <w:wordWrap/>
        <w:overflowPunct/>
        <w:topLinePunct w:val="0"/>
        <w:autoSpaceDE/>
        <w:autoSpaceDN/>
        <w:bidi w:val="0"/>
        <w:spacing w:line="276" w:lineRule="auto"/>
        <w:ind w:firstLine="0" w:firstLineChars="0"/>
        <w:jc w:val="both"/>
        <w:textAlignment w:val="auto"/>
        <w:outlineLvl w:val="1"/>
        <w:rPr>
          <w:rFonts w:hint="eastAsia" w:ascii="方正仿宋_GBK" w:hAnsi="方正仿宋_GBK" w:eastAsia="方正仿宋_GBK" w:cs="方正仿宋_GBK"/>
          <w:sz w:val="32"/>
          <w:szCs w:val="32"/>
        </w:rPr>
      </w:pPr>
      <w:bookmarkStart w:id="205" w:name="_Toc1645401129"/>
      <w:bookmarkStart w:id="206" w:name="_Toc1084736559"/>
      <w:bookmarkStart w:id="207" w:name="_Toc1520752726"/>
      <w:r>
        <w:rPr>
          <w:rFonts w:hint="eastAsia" w:ascii="方正仿宋_GBK" w:hAnsi="方正仿宋_GBK" w:eastAsia="方正仿宋_GBK" w:cs="方正仿宋_GBK"/>
          <w:sz w:val="32"/>
          <w:szCs w:val="32"/>
        </w:rPr>
        <w:t>附表4</w:t>
      </w:r>
    </w:p>
    <w:p>
      <w:pPr>
        <w:pageBreakBefore w:val="0"/>
        <w:kinsoku/>
        <w:wordWrap/>
        <w:overflowPunct/>
        <w:topLinePunct w:val="0"/>
        <w:autoSpaceDE/>
        <w:autoSpaceDN/>
        <w:bidi w:val="0"/>
        <w:spacing w:line="276" w:lineRule="auto"/>
        <w:ind w:firstLine="0" w:firstLineChars="0"/>
        <w:jc w:val="center"/>
        <w:textAlignment w:val="auto"/>
        <w:outlineLvl w:val="1"/>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永川区“十四五”海绵城市建设工程</w:t>
      </w:r>
      <w:bookmarkEnd w:id="205"/>
      <w:bookmarkEnd w:id="206"/>
      <w:bookmarkEnd w:id="207"/>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213"/>
        <w:gridCol w:w="1560"/>
        <w:gridCol w:w="850"/>
        <w:gridCol w:w="2533"/>
        <w:gridCol w:w="1294"/>
        <w:gridCol w:w="931"/>
        <w:gridCol w:w="1005"/>
        <w:gridCol w:w="990"/>
        <w:gridCol w:w="476"/>
        <w:gridCol w:w="544"/>
        <w:gridCol w:w="54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blHeader/>
          <w:jc w:val="center"/>
        </w:trPr>
        <w:tc>
          <w:tcPr>
            <w:tcW w:w="503" w:type="dxa"/>
            <w:vMerge w:val="restart"/>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序号</w:t>
            </w:r>
          </w:p>
        </w:tc>
        <w:tc>
          <w:tcPr>
            <w:tcW w:w="1213" w:type="dxa"/>
            <w:vMerge w:val="restart"/>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项目类别</w:t>
            </w:r>
          </w:p>
        </w:tc>
        <w:tc>
          <w:tcPr>
            <w:tcW w:w="1560" w:type="dxa"/>
            <w:vMerge w:val="restart"/>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项目名称</w:t>
            </w:r>
          </w:p>
        </w:tc>
        <w:tc>
          <w:tcPr>
            <w:tcW w:w="850" w:type="dxa"/>
            <w:vMerge w:val="restart"/>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项目所在地</w:t>
            </w:r>
          </w:p>
        </w:tc>
        <w:tc>
          <w:tcPr>
            <w:tcW w:w="2533" w:type="dxa"/>
            <w:vMerge w:val="restart"/>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主要建设内容</w:t>
            </w:r>
          </w:p>
        </w:tc>
        <w:tc>
          <w:tcPr>
            <w:tcW w:w="1294" w:type="dxa"/>
            <w:vMerge w:val="restart"/>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建设时限</w:t>
            </w:r>
          </w:p>
        </w:tc>
        <w:tc>
          <w:tcPr>
            <w:tcW w:w="931" w:type="dxa"/>
            <w:vMerge w:val="restart"/>
            <w:noWrap w:val="0"/>
            <w:vAlign w:val="center"/>
          </w:tcPr>
          <w:p>
            <w:pPr>
              <w:widowControl/>
              <w:snapToGrid w:val="0"/>
              <w:spacing w:line="240" w:lineRule="atLeast"/>
              <w:jc w:val="center"/>
              <w:rPr>
                <w:rFonts w:hint="eastAsia" w:ascii="方正仿宋_GBK" w:hAnsi="宋体" w:eastAsia="方正仿宋_GBK" w:cs="宋体"/>
                <w:kern w:val="0"/>
                <w:szCs w:val="21"/>
              </w:rPr>
            </w:pPr>
            <w:r>
              <w:rPr>
                <w:rFonts w:hint="eastAsia" w:ascii="方正仿宋_GBK" w:hAnsi="宋体" w:eastAsia="方正仿宋_GBK" w:cs="宋体"/>
                <w:kern w:val="0"/>
                <w:szCs w:val="21"/>
              </w:rPr>
              <w:t>负责</w:t>
            </w:r>
          </w:p>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部门</w:t>
            </w:r>
          </w:p>
        </w:tc>
        <w:tc>
          <w:tcPr>
            <w:tcW w:w="1005" w:type="dxa"/>
            <w:vMerge w:val="restart"/>
            <w:noWrap w:val="0"/>
            <w:vAlign w:val="center"/>
          </w:tcPr>
          <w:p>
            <w:pPr>
              <w:widowControl/>
              <w:snapToGrid w:val="0"/>
              <w:spacing w:line="240" w:lineRule="atLeast"/>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节水量</w:t>
            </w:r>
          </w:p>
          <w:p>
            <w:pPr>
              <w:widowControl/>
              <w:snapToGrid w:val="0"/>
              <w:spacing w:line="240" w:lineRule="atLeast"/>
              <w:jc w:val="both"/>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lang w:eastAsia="zh-CN"/>
              </w:rPr>
              <w:t>（</w:t>
            </w:r>
            <w:r>
              <w:rPr>
                <w:rFonts w:hint="eastAsia" w:ascii="方正仿宋_GBK" w:hAnsi="宋体" w:eastAsia="方正仿宋_GBK" w:cs="宋体"/>
                <w:kern w:val="0"/>
                <w:sz w:val="21"/>
                <w:szCs w:val="21"/>
              </w:rPr>
              <w:t>万m</w:t>
            </w:r>
            <w:r>
              <w:rPr>
                <w:rFonts w:hint="eastAsia" w:ascii="方正仿宋_GBK" w:hAnsi="宋体" w:eastAsia="方正仿宋_GBK" w:cs="宋体"/>
                <w:kern w:val="0"/>
                <w:sz w:val="21"/>
                <w:szCs w:val="21"/>
                <w:vertAlign w:val="superscript"/>
              </w:rPr>
              <w:t>3</w:t>
            </w:r>
            <w:r>
              <w:rPr>
                <w:rFonts w:hint="eastAsia" w:ascii="方正仿宋_GBK" w:hAnsi="宋体" w:eastAsia="方正仿宋_GBK" w:cs="宋体"/>
                <w:kern w:val="0"/>
                <w:sz w:val="21"/>
                <w:szCs w:val="21"/>
                <w:lang w:eastAsia="zh-CN"/>
              </w:rPr>
              <w:t>）</w:t>
            </w:r>
          </w:p>
        </w:tc>
        <w:tc>
          <w:tcPr>
            <w:tcW w:w="990" w:type="dxa"/>
            <w:vMerge w:val="restart"/>
            <w:noWrap w:val="0"/>
            <w:vAlign w:val="center"/>
          </w:tcPr>
          <w:p>
            <w:pPr>
              <w:widowControl/>
              <w:snapToGrid w:val="0"/>
              <w:spacing w:line="240" w:lineRule="atLeast"/>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总投资</w:t>
            </w:r>
          </w:p>
          <w:p>
            <w:pPr>
              <w:widowControl/>
              <w:snapToGrid w:val="0"/>
              <w:spacing w:line="240" w:lineRule="atLeast"/>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lang w:eastAsia="zh-CN"/>
              </w:rPr>
              <w:t>（</w:t>
            </w:r>
            <w:r>
              <w:rPr>
                <w:rFonts w:hint="eastAsia" w:ascii="方正仿宋_GBK" w:hAnsi="宋体" w:eastAsia="方正仿宋_GBK" w:cs="宋体"/>
                <w:kern w:val="0"/>
                <w:sz w:val="21"/>
                <w:szCs w:val="21"/>
              </w:rPr>
              <w:t>万元</w:t>
            </w:r>
            <w:r>
              <w:rPr>
                <w:rFonts w:hint="eastAsia" w:ascii="方正仿宋_GBK" w:hAnsi="宋体" w:eastAsia="方正仿宋_GBK" w:cs="宋体"/>
                <w:kern w:val="0"/>
                <w:sz w:val="21"/>
                <w:szCs w:val="21"/>
                <w:lang w:eastAsia="zh-CN"/>
              </w:rPr>
              <w:t>）</w:t>
            </w:r>
          </w:p>
        </w:tc>
        <w:tc>
          <w:tcPr>
            <w:tcW w:w="1560" w:type="dxa"/>
            <w:gridSpan w:val="3"/>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投资渠道</w:t>
            </w:r>
          </w:p>
        </w:tc>
        <w:tc>
          <w:tcPr>
            <w:tcW w:w="1485" w:type="dxa"/>
            <w:vMerge w:val="restart"/>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blHeader/>
          <w:jc w:val="center"/>
        </w:trPr>
        <w:tc>
          <w:tcPr>
            <w:tcW w:w="503" w:type="dxa"/>
            <w:vMerge w:val="continue"/>
            <w:noWrap w:val="0"/>
            <w:vAlign w:val="center"/>
          </w:tcPr>
          <w:p>
            <w:pPr>
              <w:widowControl/>
              <w:snapToGrid w:val="0"/>
              <w:spacing w:line="240" w:lineRule="atLeast"/>
              <w:jc w:val="center"/>
              <w:rPr>
                <w:rFonts w:ascii="方正仿宋_GBK" w:hAnsi="宋体" w:eastAsia="方正仿宋_GBK" w:cs="宋体"/>
                <w:kern w:val="0"/>
                <w:szCs w:val="21"/>
              </w:rPr>
            </w:pPr>
          </w:p>
        </w:tc>
        <w:tc>
          <w:tcPr>
            <w:tcW w:w="1213" w:type="dxa"/>
            <w:vMerge w:val="continue"/>
            <w:noWrap w:val="0"/>
            <w:vAlign w:val="center"/>
          </w:tcPr>
          <w:p>
            <w:pPr>
              <w:widowControl/>
              <w:snapToGrid w:val="0"/>
              <w:spacing w:line="240" w:lineRule="atLeast"/>
              <w:jc w:val="center"/>
              <w:rPr>
                <w:rFonts w:ascii="方正仿宋_GBK" w:hAnsi="宋体" w:eastAsia="方正仿宋_GBK" w:cs="宋体"/>
                <w:kern w:val="0"/>
                <w:szCs w:val="21"/>
              </w:rPr>
            </w:pPr>
          </w:p>
        </w:tc>
        <w:tc>
          <w:tcPr>
            <w:tcW w:w="1560" w:type="dxa"/>
            <w:vMerge w:val="continue"/>
            <w:noWrap w:val="0"/>
            <w:vAlign w:val="center"/>
          </w:tcPr>
          <w:p>
            <w:pPr>
              <w:widowControl/>
              <w:snapToGrid w:val="0"/>
              <w:spacing w:line="240" w:lineRule="atLeast"/>
              <w:jc w:val="center"/>
              <w:rPr>
                <w:rFonts w:ascii="方正仿宋_GBK" w:hAnsi="宋体" w:eastAsia="方正仿宋_GBK" w:cs="宋体"/>
                <w:kern w:val="0"/>
                <w:szCs w:val="21"/>
              </w:rPr>
            </w:pPr>
          </w:p>
        </w:tc>
        <w:tc>
          <w:tcPr>
            <w:tcW w:w="850" w:type="dxa"/>
            <w:vMerge w:val="continue"/>
            <w:noWrap w:val="0"/>
            <w:vAlign w:val="center"/>
          </w:tcPr>
          <w:p>
            <w:pPr>
              <w:widowControl/>
              <w:snapToGrid w:val="0"/>
              <w:spacing w:line="240" w:lineRule="atLeast"/>
              <w:jc w:val="center"/>
              <w:rPr>
                <w:rFonts w:ascii="方正仿宋_GBK" w:hAnsi="宋体" w:eastAsia="方正仿宋_GBK" w:cs="宋体"/>
                <w:kern w:val="0"/>
                <w:szCs w:val="21"/>
              </w:rPr>
            </w:pPr>
          </w:p>
        </w:tc>
        <w:tc>
          <w:tcPr>
            <w:tcW w:w="2533" w:type="dxa"/>
            <w:vMerge w:val="continue"/>
            <w:noWrap w:val="0"/>
            <w:vAlign w:val="center"/>
          </w:tcPr>
          <w:p>
            <w:pPr>
              <w:widowControl/>
              <w:snapToGrid w:val="0"/>
              <w:spacing w:line="240" w:lineRule="atLeast"/>
              <w:jc w:val="center"/>
              <w:rPr>
                <w:rFonts w:ascii="方正仿宋_GBK" w:hAnsi="宋体" w:eastAsia="方正仿宋_GBK" w:cs="宋体"/>
                <w:kern w:val="0"/>
                <w:szCs w:val="21"/>
              </w:rPr>
            </w:pPr>
          </w:p>
        </w:tc>
        <w:tc>
          <w:tcPr>
            <w:tcW w:w="1294" w:type="dxa"/>
            <w:vMerge w:val="continue"/>
            <w:noWrap w:val="0"/>
            <w:vAlign w:val="center"/>
          </w:tcPr>
          <w:p>
            <w:pPr>
              <w:widowControl/>
              <w:snapToGrid w:val="0"/>
              <w:spacing w:line="240" w:lineRule="atLeast"/>
              <w:jc w:val="center"/>
              <w:rPr>
                <w:rFonts w:ascii="方正仿宋_GBK" w:hAnsi="宋体" w:eastAsia="方正仿宋_GBK" w:cs="宋体"/>
                <w:kern w:val="0"/>
                <w:szCs w:val="21"/>
              </w:rPr>
            </w:pPr>
          </w:p>
        </w:tc>
        <w:tc>
          <w:tcPr>
            <w:tcW w:w="931" w:type="dxa"/>
            <w:vMerge w:val="continue"/>
            <w:noWrap w:val="0"/>
            <w:vAlign w:val="center"/>
          </w:tcPr>
          <w:p>
            <w:pPr>
              <w:widowControl/>
              <w:snapToGrid w:val="0"/>
              <w:spacing w:line="240" w:lineRule="atLeast"/>
              <w:jc w:val="center"/>
              <w:rPr>
                <w:rFonts w:ascii="方正仿宋_GBK" w:hAnsi="宋体" w:eastAsia="方正仿宋_GBK" w:cs="宋体"/>
                <w:kern w:val="0"/>
                <w:szCs w:val="21"/>
              </w:rPr>
            </w:pPr>
          </w:p>
        </w:tc>
        <w:tc>
          <w:tcPr>
            <w:tcW w:w="1005" w:type="dxa"/>
            <w:vMerge w:val="continue"/>
            <w:noWrap w:val="0"/>
            <w:vAlign w:val="center"/>
          </w:tcPr>
          <w:p>
            <w:pPr>
              <w:widowControl/>
              <w:snapToGrid w:val="0"/>
              <w:spacing w:line="240" w:lineRule="atLeast"/>
              <w:jc w:val="center"/>
              <w:rPr>
                <w:rFonts w:ascii="方正仿宋_GBK" w:hAnsi="宋体" w:eastAsia="方正仿宋_GBK" w:cs="宋体"/>
                <w:kern w:val="0"/>
                <w:szCs w:val="21"/>
              </w:rPr>
            </w:pPr>
          </w:p>
        </w:tc>
        <w:tc>
          <w:tcPr>
            <w:tcW w:w="990" w:type="dxa"/>
            <w:vMerge w:val="continue"/>
            <w:noWrap w:val="0"/>
            <w:vAlign w:val="center"/>
          </w:tcPr>
          <w:p>
            <w:pPr>
              <w:widowControl/>
              <w:snapToGrid w:val="0"/>
              <w:spacing w:line="240" w:lineRule="atLeast"/>
              <w:jc w:val="center"/>
              <w:rPr>
                <w:rFonts w:ascii="方正仿宋_GBK" w:hAnsi="宋体" w:eastAsia="方正仿宋_GBK" w:cs="宋体"/>
                <w:kern w:val="0"/>
                <w:szCs w:val="21"/>
              </w:rPr>
            </w:pP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企业</w:t>
            </w: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地方</w:t>
            </w: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国家</w:t>
            </w:r>
          </w:p>
        </w:tc>
        <w:tc>
          <w:tcPr>
            <w:tcW w:w="1485" w:type="dxa"/>
            <w:vMerge w:val="continue"/>
            <w:noWrap w:val="0"/>
            <w:vAlign w:val="center"/>
          </w:tcPr>
          <w:p>
            <w:pPr>
              <w:widowControl/>
              <w:snapToGrid w:val="0"/>
              <w:spacing w:line="240" w:lineRule="atLeast"/>
              <w:jc w:val="center"/>
              <w:rPr>
                <w:rFonts w:ascii="方正仿宋_GBK" w:hAnsi="宋体" w:eastAsia="方正仿宋_GBK"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1</w:t>
            </w:r>
          </w:p>
        </w:tc>
        <w:tc>
          <w:tcPr>
            <w:tcW w:w="1213" w:type="dxa"/>
            <w:noWrap/>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绿地工程项目</w:t>
            </w:r>
          </w:p>
        </w:tc>
        <w:tc>
          <w:tcPr>
            <w:tcW w:w="1560"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神女湖广场地表径流疏导项目</w:t>
            </w:r>
          </w:p>
        </w:tc>
        <w:tc>
          <w:tcPr>
            <w:tcW w:w="85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中山路街道</w:t>
            </w:r>
          </w:p>
        </w:tc>
        <w:tc>
          <w:tcPr>
            <w:tcW w:w="2533"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对神女湖广场地表径流进行疏导，引导地表径流进入现状神女湖幸福广场的雨水塘</w:t>
            </w:r>
          </w:p>
        </w:tc>
        <w:tc>
          <w:tcPr>
            <w:tcW w:w="1294" w:type="dxa"/>
            <w:vMerge w:val="restart"/>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2020~2021</w:t>
            </w:r>
          </w:p>
        </w:tc>
        <w:tc>
          <w:tcPr>
            <w:tcW w:w="931"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城管局</w:t>
            </w:r>
          </w:p>
        </w:tc>
        <w:tc>
          <w:tcPr>
            <w:tcW w:w="1005"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99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50</w:t>
            </w: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1485" w:type="dxa"/>
            <w:vMerge w:val="restart"/>
            <w:noWrap w:val="0"/>
            <w:vAlign w:val="center"/>
          </w:tcPr>
          <w:p>
            <w:pPr>
              <w:widowControl/>
              <w:snapToGrid w:val="0"/>
              <w:spacing w:line="240" w:lineRule="atLeast"/>
              <w:jc w:val="center"/>
              <w:rPr>
                <w:rFonts w:ascii="方正仿宋_GBK" w:hAnsi="Times New Roman" w:eastAsia="方正仿宋_GBK" w:cs="Times New Roman"/>
                <w:kern w:val="0"/>
                <w:szCs w:val="21"/>
              </w:rPr>
            </w:pPr>
            <w:r>
              <w:rPr>
                <w:rFonts w:hint="eastAsia" w:ascii="方正仿宋_GBK" w:hAnsi="宋体" w:eastAsia="方正仿宋_GBK" w:cs="Times New Roman"/>
                <w:kern w:val="0"/>
                <w:szCs w:val="21"/>
              </w:rPr>
              <w:t>已纳入《重庆市永川区城市基础设施建设</w:t>
            </w:r>
            <w:r>
              <w:rPr>
                <w:rFonts w:hint="eastAsia" w:ascii="方正仿宋_GBK" w:hAnsi="Times New Roman" w:eastAsia="方正仿宋_GBK" w:cs="Times New Roman"/>
                <w:kern w:val="0"/>
                <w:szCs w:val="21"/>
              </w:rPr>
              <w:t>“</w:t>
            </w:r>
            <w:r>
              <w:rPr>
                <w:rFonts w:hint="eastAsia" w:ascii="方正仿宋_GBK" w:hAnsi="宋体" w:eastAsia="方正仿宋_GBK" w:cs="Times New Roman"/>
                <w:kern w:val="0"/>
                <w:szCs w:val="21"/>
              </w:rPr>
              <w:t>十四五</w:t>
            </w:r>
            <w:r>
              <w:rPr>
                <w:rFonts w:hint="eastAsia" w:ascii="方正仿宋_GBK" w:hAnsi="Times New Roman" w:eastAsia="方正仿宋_GBK" w:cs="Times New Roman"/>
                <w:kern w:val="0"/>
                <w:szCs w:val="21"/>
              </w:rPr>
              <w:t>”</w:t>
            </w:r>
            <w:r>
              <w:rPr>
                <w:rFonts w:hint="eastAsia" w:ascii="方正仿宋_GBK" w:hAnsi="宋体" w:eastAsia="方正仿宋_GBK" w:cs="Times New Roman"/>
                <w:kern w:val="0"/>
                <w:szCs w:val="21"/>
              </w:rPr>
              <w:t>规划（</w:t>
            </w:r>
            <w:r>
              <w:rPr>
                <w:rFonts w:hint="eastAsia" w:ascii="方正仿宋_GBK" w:hAnsi="Times New Roman" w:eastAsia="方正仿宋_GBK" w:cs="Times New Roman"/>
                <w:kern w:val="0"/>
                <w:szCs w:val="21"/>
              </w:rPr>
              <w:t>2021-2025</w:t>
            </w:r>
            <w:r>
              <w:rPr>
                <w:rFonts w:hint="eastAsia" w:ascii="方正仿宋_GBK" w:hAnsi="宋体" w:eastAsia="方正仿宋_GBK"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w:t>
            </w:r>
          </w:p>
        </w:tc>
        <w:tc>
          <w:tcPr>
            <w:tcW w:w="121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道路工程项目</w:t>
            </w:r>
          </w:p>
        </w:tc>
        <w:tc>
          <w:tcPr>
            <w:tcW w:w="1560"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神女湖广场旁侧停车场改造项目</w:t>
            </w:r>
          </w:p>
        </w:tc>
        <w:tc>
          <w:tcPr>
            <w:tcW w:w="85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中山路街道</w:t>
            </w:r>
          </w:p>
        </w:tc>
        <w:tc>
          <w:tcPr>
            <w:tcW w:w="2533"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对神女湖广场旁侧停车场进行海绵提升改造</w:t>
            </w:r>
          </w:p>
        </w:tc>
        <w:tc>
          <w:tcPr>
            <w:tcW w:w="1294" w:type="dxa"/>
            <w:vMerge w:val="continue"/>
            <w:noWrap w:val="0"/>
            <w:vAlign w:val="center"/>
          </w:tcPr>
          <w:p>
            <w:pPr>
              <w:widowControl/>
              <w:snapToGrid w:val="0"/>
              <w:spacing w:line="240" w:lineRule="atLeast"/>
              <w:jc w:val="center"/>
              <w:rPr>
                <w:rFonts w:ascii="方正仿宋_GBK" w:hAnsi="宋体" w:eastAsia="方正仿宋_GBK" w:cs="宋体"/>
                <w:kern w:val="0"/>
                <w:szCs w:val="21"/>
              </w:rPr>
            </w:pPr>
          </w:p>
        </w:tc>
        <w:tc>
          <w:tcPr>
            <w:tcW w:w="931" w:type="dxa"/>
            <w:noWrap w:val="0"/>
            <w:vAlign w:val="center"/>
          </w:tcPr>
          <w:p>
            <w:pPr>
              <w:jc w:val="center"/>
              <w:rPr>
                <w:rFonts w:ascii="方正仿宋_GBK" w:eastAsia="方正仿宋_GBK"/>
                <w:szCs w:val="21"/>
              </w:rPr>
            </w:pPr>
            <w:r>
              <w:rPr>
                <w:rFonts w:hint="eastAsia" w:ascii="方正仿宋_GBK" w:hAnsi="宋体" w:eastAsia="方正仿宋_GBK" w:cs="宋体"/>
                <w:kern w:val="0"/>
                <w:szCs w:val="21"/>
              </w:rPr>
              <w:t>城管局</w:t>
            </w:r>
          </w:p>
        </w:tc>
        <w:tc>
          <w:tcPr>
            <w:tcW w:w="1005" w:type="dxa"/>
            <w:noWrap w:val="0"/>
            <w:vAlign w:val="center"/>
          </w:tcPr>
          <w:p>
            <w:pPr>
              <w:jc w:val="center"/>
              <w:rPr>
                <w:rFonts w:ascii="方正仿宋_GBK" w:eastAsia="方正仿宋_GBK"/>
                <w:szCs w:val="21"/>
              </w:rPr>
            </w:pPr>
          </w:p>
        </w:tc>
        <w:tc>
          <w:tcPr>
            <w:tcW w:w="99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200</w:t>
            </w: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1485" w:type="dxa"/>
            <w:vMerge w:val="continue"/>
            <w:noWrap w:val="0"/>
            <w:vAlign w:val="center"/>
          </w:tcPr>
          <w:p>
            <w:pPr>
              <w:widowControl/>
              <w:snapToGrid w:val="0"/>
              <w:spacing w:line="240" w:lineRule="atLeast"/>
              <w:jc w:val="center"/>
              <w:rPr>
                <w:rFonts w:ascii="方正仿宋_GBK"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0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3</w:t>
            </w:r>
          </w:p>
        </w:tc>
        <w:tc>
          <w:tcPr>
            <w:tcW w:w="1213" w:type="dxa"/>
            <w:noWrap/>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绿地工程项目</w:t>
            </w:r>
          </w:p>
        </w:tc>
        <w:tc>
          <w:tcPr>
            <w:tcW w:w="1560"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望贤公园海绵提升项目</w:t>
            </w:r>
          </w:p>
        </w:tc>
        <w:tc>
          <w:tcPr>
            <w:tcW w:w="85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中山路街道</w:t>
            </w:r>
          </w:p>
        </w:tc>
        <w:tc>
          <w:tcPr>
            <w:tcW w:w="2533"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对望贤公园海绵改造，增设植草沟和雨水花园</w:t>
            </w:r>
          </w:p>
        </w:tc>
        <w:tc>
          <w:tcPr>
            <w:tcW w:w="1294" w:type="dxa"/>
            <w:vMerge w:val="continue"/>
            <w:noWrap w:val="0"/>
            <w:vAlign w:val="center"/>
          </w:tcPr>
          <w:p>
            <w:pPr>
              <w:widowControl/>
              <w:snapToGrid w:val="0"/>
              <w:spacing w:line="240" w:lineRule="atLeast"/>
              <w:jc w:val="center"/>
              <w:rPr>
                <w:rFonts w:ascii="方正仿宋_GBK" w:hAnsi="宋体" w:eastAsia="方正仿宋_GBK" w:cs="宋体"/>
                <w:kern w:val="0"/>
                <w:szCs w:val="21"/>
              </w:rPr>
            </w:pPr>
          </w:p>
        </w:tc>
        <w:tc>
          <w:tcPr>
            <w:tcW w:w="931" w:type="dxa"/>
            <w:noWrap w:val="0"/>
            <w:vAlign w:val="center"/>
          </w:tcPr>
          <w:p>
            <w:pPr>
              <w:jc w:val="center"/>
              <w:rPr>
                <w:rFonts w:ascii="方正仿宋_GBK" w:eastAsia="方正仿宋_GBK"/>
                <w:szCs w:val="21"/>
              </w:rPr>
            </w:pPr>
            <w:r>
              <w:rPr>
                <w:rFonts w:hint="eastAsia" w:ascii="方正仿宋_GBK" w:hAnsi="宋体" w:eastAsia="方正仿宋_GBK" w:cs="宋体"/>
                <w:kern w:val="0"/>
                <w:szCs w:val="21"/>
              </w:rPr>
              <w:t>城管局</w:t>
            </w:r>
          </w:p>
        </w:tc>
        <w:tc>
          <w:tcPr>
            <w:tcW w:w="1005" w:type="dxa"/>
            <w:noWrap w:val="0"/>
            <w:vAlign w:val="center"/>
          </w:tcPr>
          <w:p>
            <w:pPr>
              <w:jc w:val="center"/>
              <w:rPr>
                <w:rFonts w:ascii="方正仿宋_GBK" w:eastAsia="方正仿宋_GBK"/>
                <w:szCs w:val="21"/>
              </w:rPr>
            </w:pPr>
          </w:p>
        </w:tc>
        <w:tc>
          <w:tcPr>
            <w:tcW w:w="99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100</w:t>
            </w: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1485" w:type="dxa"/>
            <w:vMerge w:val="continue"/>
            <w:noWrap w:val="0"/>
            <w:vAlign w:val="center"/>
          </w:tcPr>
          <w:p>
            <w:pPr>
              <w:widowControl/>
              <w:snapToGrid w:val="0"/>
              <w:spacing w:line="240" w:lineRule="atLeast"/>
              <w:jc w:val="center"/>
              <w:rPr>
                <w:rFonts w:ascii="方正仿宋_GBK"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0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4</w:t>
            </w:r>
          </w:p>
        </w:tc>
        <w:tc>
          <w:tcPr>
            <w:tcW w:w="121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道路工程项目</w:t>
            </w:r>
          </w:p>
        </w:tc>
        <w:tc>
          <w:tcPr>
            <w:tcW w:w="1560"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兴龙大道海绵提升项目</w:t>
            </w:r>
          </w:p>
        </w:tc>
        <w:tc>
          <w:tcPr>
            <w:tcW w:w="85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中山路街道</w:t>
            </w:r>
          </w:p>
        </w:tc>
        <w:tc>
          <w:tcPr>
            <w:tcW w:w="2533"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在兴龙大道试试道路与广场改造建设</w:t>
            </w:r>
          </w:p>
        </w:tc>
        <w:tc>
          <w:tcPr>
            <w:tcW w:w="129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2020~2021</w:t>
            </w:r>
          </w:p>
        </w:tc>
        <w:tc>
          <w:tcPr>
            <w:tcW w:w="931" w:type="dxa"/>
            <w:noWrap w:val="0"/>
            <w:vAlign w:val="center"/>
          </w:tcPr>
          <w:p>
            <w:pPr>
              <w:jc w:val="center"/>
              <w:rPr>
                <w:rFonts w:ascii="方正仿宋_GBK" w:eastAsia="方正仿宋_GBK"/>
                <w:szCs w:val="21"/>
              </w:rPr>
            </w:pPr>
            <w:r>
              <w:rPr>
                <w:rFonts w:hint="eastAsia" w:ascii="方正仿宋_GBK" w:hAnsi="宋体" w:eastAsia="方正仿宋_GBK" w:cs="宋体"/>
                <w:kern w:val="0"/>
                <w:szCs w:val="21"/>
              </w:rPr>
              <w:t>城管局</w:t>
            </w:r>
          </w:p>
        </w:tc>
        <w:tc>
          <w:tcPr>
            <w:tcW w:w="1005" w:type="dxa"/>
            <w:noWrap w:val="0"/>
            <w:vAlign w:val="center"/>
          </w:tcPr>
          <w:p>
            <w:pPr>
              <w:jc w:val="center"/>
              <w:rPr>
                <w:rFonts w:ascii="方正仿宋_GBK" w:eastAsia="方正仿宋_GBK"/>
                <w:szCs w:val="21"/>
              </w:rPr>
            </w:pPr>
          </w:p>
        </w:tc>
        <w:tc>
          <w:tcPr>
            <w:tcW w:w="99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500</w:t>
            </w: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1485" w:type="dxa"/>
            <w:vMerge w:val="continue"/>
            <w:noWrap w:val="0"/>
            <w:vAlign w:val="center"/>
          </w:tcPr>
          <w:p>
            <w:pPr>
              <w:widowControl/>
              <w:snapToGrid w:val="0"/>
              <w:spacing w:line="240" w:lineRule="atLeast"/>
              <w:jc w:val="center"/>
              <w:rPr>
                <w:rFonts w:ascii="方正仿宋_GBK"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50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5</w:t>
            </w:r>
          </w:p>
        </w:tc>
        <w:tc>
          <w:tcPr>
            <w:tcW w:w="121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道路工程项目</w:t>
            </w:r>
          </w:p>
        </w:tc>
        <w:tc>
          <w:tcPr>
            <w:tcW w:w="1560"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红河广场停车场海绵改造</w:t>
            </w:r>
          </w:p>
        </w:tc>
        <w:tc>
          <w:tcPr>
            <w:tcW w:w="85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中山路街道</w:t>
            </w:r>
          </w:p>
        </w:tc>
        <w:tc>
          <w:tcPr>
            <w:tcW w:w="2533"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对红河广场停车场进行道路与广场改造建设</w:t>
            </w:r>
          </w:p>
        </w:tc>
        <w:tc>
          <w:tcPr>
            <w:tcW w:w="129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2020~2021</w:t>
            </w:r>
          </w:p>
        </w:tc>
        <w:tc>
          <w:tcPr>
            <w:tcW w:w="931" w:type="dxa"/>
            <w:noWrap w:val="0"/>
            <w:vAlign w:val="center"/>
          </w:tcPr>
          <w:p>
            <w:pPr>
              <w:jc w:val="center"/>
              <w:rPr>
                <w:rFonts w:ascii="方正仿宋_GBK" w:eastAsia="方正仿宋_GBK"/>
                <w:szCs w:val="21"/>
              </w:rPr>
            </w:pPr>
            <w:r>
              <w:rPr>
                <w:rFonts w:hint="eastAsia" w:ascii="方正仿宋_GBK" w:hAnsi="宋体" w:eastAsia="方正仿宋_GBK" w:cs="宋体"/>
                <w:kern w:val="0"/>
                <w:szCs w:val="21"/>
              </w:rPr>
              <w:t>城管局</w:t>
            </w:r>
          </w:p>
        </w:tc>
        <w:tc>
          <w:tcPr>
            <w:tcW w:w="1005" w:type="dxa"/>
            <w:noWrap w:val="0"/>
            <w:vAlign w:val="center"/>
          </w:tcPr>
          <w:p>
            <w:pPr>
              <w:jc w:val="center"/>
              <w:rPr>
                <w:rFonts w:ascii="方正仿宋_GBK" w:eastAsia="方正仿宋_GBK"/>
                <w:szCs w:val="21"/>
              </w:rPr>
            </w:pPr>
          </w:p>
        </w:tc>
        <w:tc>
          <w:tcPr>
            <w:tcW w:w="99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300</w:t>
            </w: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1485" w:type="dxa"/>
            <w:vMerge w:val="continue"/>
            <w:noWrap w:val="0"/>
            <w:vAlign w:val="center"/>
          </w:tcPr>
          <w:p>
            <w:pPr>
              <w:widowControl/>
              <w:snapToGrid w:val="0"/>
              <w:spacing w:line="240" w:lineRule="atLeast"/>
              <w:jc w:val="center"/>
              <w:rPr>
                <w:rFonts w:ascii="方正仿宋_GBK"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6</w:t>
            </w:r>
          </w:p>
        </w:tc>
        <w:tc>
          <w:tcPr>
            <w:tcW w:w="121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道路工程项目</w:t>
            </w:r>
          </w:p>
        </w:tc>
        <w:tc>
          <w:tcPr>
            <w:tcW w:w="1560"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兴龙湖周边停车场海绵提升项目</w:t>
            </w:r>
          </w:p>
        </w:tc>
        <w:tc>
          <w:tcPr>
            <w:tcW w:w="85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中山路街道</w:t>
            </w:r>
          </w:p>
        </w:tc>
        <w:tc>
          <w:tcPr>
            <w:tcW w:w="2533"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对兴龙湖周边停车场道路与广场进行改造建设</w:t>
            </w:r>
          </w:p>
        </w:tc>
        <w:tc>
          <w:tcPr>
            <w:tcW w:w="129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2021~2022</w:t>
            </w:r>
          </w:p>
        </w:tc>
        <w:tc>
          <w:tcPr>
            <w:tcW w:w="931" w:type="dxa"/>
            <w:noWrap w:val="0"/>
            <w:vAlign w:val="center"/>
          </w:tcPr>
          <w:p>
            <w:pPr>
              <w:jc w:val="center"/>
              <w:rPr>
                <w:rFonts w:ascii="方正仿宋_GBK" w:eastAsia="方正仿宋_GBK"/>
                <w:szCs w:val="21"/>
              </w:rPr>
            </w:pPr>
            <w:r>
              <w:rPr>
                <w:rFonts w:hint="eastAsia" w:ascii="方正仿宋_GBK" w:hAnsi="宋体" w:eastAsia="方正仿宋_GBK" w:cs="宋体"/>
                <w:kern w:val="0"/>
                <w:szCs w:val="21"/>
              </w:rPr>
              <w:t>城管局</w:t>
            </w:r>
          </w:p>
        </w:tc>
        <w:tc>
          <w:tcPr>
            <w:tcW w:w="1005" w:type="dxa"/>
            <w:noWrap w:val="0"/>
            <w:vAlign w:val="center"/>
          </w:tcPr>
          <w:p>
            <w:pPr>
              <w:jc w:val="center"/>
              <w:rPr>
                <w:rFonts w:ascii="方正仿宋_GBK" w:eastAsia="方正仿宋_GBK"/>
                <w:szCs w:val="21"/>
              </w:rPr>
            </w:pPr>
          </w:p>
        </w:tc>
        <w:tc>
          <w:tcPr>
            <w:tcW w:w="99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200</w:t>
            </w: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1485" w:type="dxa"/>
            <w:vMerge w:val="continue"/>
            <w:noWrap w:val="0"/>
            <w:vAlign w:val="center"/>
          </w:tcPr>
          <w:p>
            <w:pPr>
              <w:widowControl/>
              <w:snapToGrid w:val="0"/>
              <w:spacing w:line="240" w:lineRule="atLeast"/>
              <w:jc w:val="center"/>
              <w:rPr>
                <w:rFonts w:ascii="方正仿宋_GBK"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50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7</w:t>
            </w:r>
          </w:p>
        </w:tc>
        <w:tc>
          <w:tcPr>
            <w:tcW w:w="121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道路工程项目</w:t>
            </w:r>
          </w:p>
        </w:tc>
        <w:tc>
          <w:tcPr>
            <w:tcW w:w="1560"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永川区建委门前停车场海绵城市改造项目</w:t>
            </w:r>
          </w:p>
        </w:tc>
        <w:tc>
          <w:tcPr>
            <w:tcW w:w="85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中山路街道</w:t>
            </w:r>
          </w:p>
        </w:tc>
        <w:tc>
          <w:tcPr>
            <w:tcW w:w="2533"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对永川区建委门前停车场进行道路与广场改造建设</w:t>
            </w:r>
          </w:p>
        </w:tc>
        <w:tc>
          <w:tcPr>
            <w:tcW w:w="129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2020~2021</w:t>
            </w:r>
          </w:p>
        </w:tc>
        <w:tc>
          <w:tcPr>
            <w:tcW w:w="931" w:type="dxa"/>
            <w:noWrap w:val="0"/>
            <w:vAlign w:val="center"/>
          </w:tcPr>
          <w:p>
            <w:pPr>
              <w:jc w:val="center"/>
              <w:rPr>
                <w:rFonts w:ascii="方正仿宋_GBK" w:eastAsia="方正仿宋_GBK"/>
                <w:szCs w:val="21"/>
              </w:rPr>
            </w:pPr>
            <w:r>
              <w:rPr>
                <w:rFonts w:hint="eastAsia" w:ascii="方正仿宋_GBK" w:hAnsi="宋体" w:eastAsia="方正仿宋_GBK" w:cs="宋体"/>
                <w:kern w:val="0"/>
                <w:szCs w:val="21"/>
              </w:rPr>
              <w:t>城管局</w:t>
            </w:r>
          </w:p>
        </w:tc>
        <w:tc>
          <w:tcPr>
            <w:tcW w:w="1005" w:type="dxa"/>
            <w:noWrap w:val="0"/>
            <w:vAlign w:val="center"/>
          </w:tcPr>
          <w:p>
            <w:pPr>
              <w:jc w:val="center"/>
              <w:rPr>
                <w:rFonts w:ascii="方正仿宋_GBK" w:eastAsia="方正仿宋_GBK"/>
                <w:szCs w:val="21"/>
              </w:rPr>
            </w:pPr>
          </w:p>
        </w:tc>
        <w:tc>
          <w:tcPr>
            <w:tcW w:w="99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300</w:t>
            </w: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1485" w:type="dxa"/>
            <w:vMerge w:val="continue"/>
            <w:noWrap w:val="0"/>
            <w:vAlign w:val="center"/>
          </w:tcPr>
          <w:p>
            <w:pPr>
              <w:widowControl/>
              <w:snapToGrid w:val="0"/>
              <w:spacing w:line="240" w:lineRule="atLeast"/>
              <w:jc w:val="center"/>
              <w:rPr>
                <w:rFonts w:ascii="方正仿宋_GBK"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8</w:t>
            </w:r>
          </w:p>
        </w:tc>
        <w:tc>
          <w:tcPr>
            <w:tcW w:w="121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道路工程项目</w:t>
            </w:r>
          </w:p>
        </w:tc>
        <w:tc>
          <w:tcPr>
            <w:tcW w:w="1560"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人民大道、红河大道海绵提升项目</w:t>
            </w:r>
          </w:p>
        </w:tc>
        <w:tc>
          <w:tcPr>
            <w:tcW w:w="85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中山路街道</w:t>
            </w:r>
          </w:p>
        </w:tc>
        <w:tc>
          <w:tcPr>
            <w:tcW w:w="2533"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对人民大道、红河大道道路与广场进行改造建设</w:t>
            </w:r>
          </w:p>
        </w:tc>
        <w:tc>
          <w:tcPr>
            <w:tcW w:w="129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2021~2022</w:t>
            </w:r>
          </w:p>
        </w:tc>
        <w:tc>
          <w:tcPr>
            <w:tcW w:w="931" w:type="dxa"/>
            <w:noWrap w:val="0"/>
            <w:vAlign w:val="center"/>
          </w:tcPr>
          <w:p>
            <w:pPr>
              <w:jc w:val="center"/>
              <w:rPr>
                <w:rFonts w:ascii="方正仿宋_GBK" w:eastAsia="方正仿宋_GBK"/>
                <w:szCs w:val="21"/>
              </w:rPr>
            </w:pPr>
            <w:r>
              <w:rPr>
                <w:rFonts w:hint="eastAsia" w:ascii="方正仿宋_GBK" w:hAnsi="宋体" w:eastAsia="方正仿宋_GBK" w:cs="宋体"/>
                <w:kern w:val="0"/>
                <w:szCs w:val="21"/>
              </w:rPr>
              <w:t>城管局</w:t>
            </w:r>
          </w:p>
        </w:tc>
        <w:tc>
          <w:tcPr>
            <w:tcW w:w="1005" w:type="dxa"/>
            <w:noWrap w:val="0"/>
            <w:vAlign w:val="center"/>
          </w:tcPr>
          <w:p>
            <w:pPr>
              <w:jc w:val="center"/>
              <w:rPr>
                <w:rFonts w:ascii="方正仿宋_GBK" w:eastAsia="方正仿宋_GBK"/>
                <w:szCs w:val="21"/>
              </w:rPr>
            </w:pPr>
          </w:p>
        </w:tc>
        <w:tc>
          <w:tcPr>
            <w:tcW w:w="99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500</w:t>
            </w: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1485" w:type="dxa"/>
            <w:vMerge w:val="continue"/>
            <w:noWrap w:val="0"/>
            <w:vAlign w:val="center"/>
          </w:tcPr>
          <w:p>
            <w:pPr>
              <w:widowControl/>
              <w:snapToGrid w:val="0"/>
              <w:spacing w:line="240" w:lineRule="atLeast"/>
              <w:jc w:val="center"/>
              <w:rPr>
                <w:rFonts w:ascii="方正仿宋_GBK"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9</w:t>
            </w:r>
          </w:p>
        </w:tc>
        <w:tc>
          <w:tcPr>
            <w:tcW w:w="1213" w:type="dxa"/>
            <w:noWrap/>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雨水调蓄储存设施建设</w:t>
            </w:r>
          </w:p>
        </w:tc>
        <w:tc>
          <w:tcPr>
            <w:tcW w:w="1560"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渝西广场海绵提升改造态树池改造项目</w:t>
            </w:r>
          </w:p>
        </w:tc>
        <w:tc>
          <w:tcPr>
            <w:tcW w:w="85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胜利路街道</w:t>
            </w:r>
          </w:p>
        </w:tc>
        <w:tc>
          <w:tcPr>
            <w:tcW w:w="2533"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对渝西广场道路与广场进行改造建设</w:t>
            </w:r>
          </w:p>
        </w:tc>
        <w:tc>
          <w:tcPr>
            <w:tcW w:w="129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2021~2022</w:t>
            </w:r>
          </w:p>
        </w:tc>
        <w:tc>
          <w:tcPr>
            <w:tcW w:w="931" w:type="dxa"/>
            <w:noWrap w:val="0"/>
            <w:vAlign w:val="center"/>
          </w:tcPr>
          <w:p>
            <w:pPr>
              <w:jc w:val="center"/>
              <w:rPr>
                <w:rFonts w:ascii="方正仿宋_GBK" w:eastAsia="方正仿宋_GBK"/>
                <w:szCs w:val="21"/>
              </w:rPr>
            </w:pPr>
            <w:r>
              <w:rPr>
                <w:rFonts w:hint="eastAsia" w:ascii="方正仿宋_GBK" w:hAnsi="宋体" w:eastAsia="方正仿宋_GBK" w:cs="宋体"/>
                <w:kern w:val="0"/>
                <w:szCs w:val="21"/>
              </w:rPr>
              <w:t>城管局</w:t>
            </w:r>
          </w:p>
        </w:tc>
        <w:tc>
          <w:tcPr>
            <w:tcW w:w="1005" w:type="dxa"/>
            <w:noWrap w:val="0"/>
            <w:vAlign w:val="center"/>
          </w:tcPr>
          <w:p>
            <w:pPr>
              <w:jc w:val="center"/>
              <w:rPr>
                <w:rFonts w:ascii="方正仿宋_GBK" w:eastAsia="方正仿宋_GBK"/>
                <w:szCs w:val="21"/>
              </w:rPr>
            </w:pPr>
          </w:p>
        </w:tc>
        <w:tc>
          <w:tcPr>
            <w:tcW w:w="99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200</w:t>
            </w: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1485" w:type="dxa"/>
            <w:vMerge w:val="continue"/>
            <w:noWrap w:val="0"/>
            <w:vAlign w:val="center"/>
          </w:tcPr>
          <w:p>
            <w:pPr>
              <w:widowControl/>
              <w:snapToGrid w:val="0"/>
              <w:spacing w:line="240" w:lineRule="atLeast"/>
              <w:jc w:val="center"/>
              <w:rPr>
                <w:rFonts w:ascii="方正仿宋_GBK"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10</w:t>
            </w:r>
          </w:p>
        </w:tc>
        <w:tc>
          <w:tcPr>
            <w:tcW w:w="1213" w:type="dxa"/>
            <w:noWrap/>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雨水调蓄储存设施建设</w:t>
            </w:r>
          </w:p>
        </w:tc>
        <w:tc>
          <w:tcPr>
            <w:tcW w:w="1560"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植物园内广场海绵提升改造态树池改造项目</w:t>
            </w:r>
          </w:p>
        </w:tc>
        <w:tc>
          <w:tcPr>
            <w:tcW w:w="85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胜利路街道</w:t>
            </w:r>
          </w:p>
        </w:tc>
        <w:tc>
          <w:tcPr>
            <w:tcW w:w="2533"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对植物园内道路与广场进行道路与广场改造建设</w:t>
            </w:r>
          </w:p>
        </w:tc>
        <w:tc>
          <w:tcPr>
            <w:tcW w:w="129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2020~2021</w:t>
            </w:r>
          </w:p>
        </w:tc>
        <w:tc>
          <w:tcPr>
            <w:tcW w:w="931" w:type="dxa"/>
            <w:noWrap w:val="0"/>
            <w:vAlign w:val="center"/>
          </w:tcPr>
          <w:p>
            <w:pPr>
              <w:jc w:val="center"/>
              <w:rPr>
                <w:rFonts w:ascii="方正仿宋_GBK" w:eastAsia="方正仿宋_GBK"/>
                <w:szCs w:val="21"/>
              </w:rPr>
            </w:pPr>
            <w:r>
              <w:rPr>
                <w:rFonts w:hint="eastAsia" w:ascii="方正仿宋_GBK" w:hAnsi="宋体" w:eastAsia="方正仿宋_GBK" w:cs="宋体"/>
                <w:kern w:val="0"/>
                <w:szCs w:val="21"/>
              </w:rPr>
              <w:t>城管局</w:t>
            </w:r>
          </w:p>
        </w:tc>
        <w:tc>
          <w:tcPr>
            <w:tcW w:w="1005" w:type="dxa"/>
            <w:noWrap w:val="0"/>
            <w:vAlign w:val="center"/>
          </w:tcPr>
          <w:p>
            <w:pPr>
              <w:jc w:val="center"/>
              <w:rPr>
                <w:rFonts w:ascii="方正仿宋_GBK" w:eastAsia="方正仿宋_GBK"/>
                <w:szCs w:val="21"/>
              </w:rPr>
            </w:pPr>
          </w:p>
        </w:tc>
        <w:tc>
          <w:tcPr>
            <w:tcW w:w="99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200</w:t>
            </w: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1485" w:type="dxa"/>
            <w:vMerge w:val="restart"/>
            <w:noWrap w:val="0"/>
            <w:vAlign w:val="center"/>
          </w:tcPr>
          <w:p>
            <w:pPr>
              <w:snapToGrid w:val="0"/>
              <w:spacing w:line="240" w:lineRule="atLeast"/>
              <w:jc w:val="center"/>
              <w:rPr>
                <w:rFonts w:ascii="方正仿宋_GBK" w:hAnsi="Times New Roman" w:eastAsia="方正仿宋_GBK" w:cs="Times New Roman"/>
                <w:kern w:val="0"/>
                <w:szCs w:val="21"/>
              </w:rPr>
            </w:pPr>
            <w:r>
              <w:rPr>
                <w:rFonts w:hint="eastAsia" w:ascii="方正仿宋_GBK" w:hAnsi="宋体" w:eastAsia="方正仿宋_GBK" w:cs="Times New Roman"/>
                <w:kern w:val="0"/>
                <w:szCs w:val="21"/>
              </w:rPr>
              <w:t>已纳入《重庆市永川区城市基础设施建设</w:t>
            </w:r>
            <w:r>
              <w:rPr>
                <w:rFonts w:hint="eastAsia" w:ascii="方正仿宋_GBK" w:hAnsi="Times New Roman" w:eastAsia="方正仿宋_GBK" w:cs="Times New Roman"/>
                <w:kern w:val="0"/>
                <w:szCs w:val="21"/>
              </w:rPr>
              <w:t>“</w:t>
            </w:r>
            <w:r>
              <w:rPr>
                <w:rFonts w:hint="eastAsia" w:ascii="方正仿宋_GBK" w:hAnsi="宋体" w:eastAsia="方正仿宋_GBK" w:cs="Times New Roman"/>
                <w:kern w:val="0"/>
                <w:szCs w:val="21"/>
              </w:rPr>
              <w:t>十四五</w:t>
            </w:r>
            <w:r>
              <w:rPr>
                <w:rFonts w:hint="eastAsia" w:ascii="方正仿宋_GBK" w:hAnsi="Times New Roman" w:eastAsia="方正仿宋_GBK" w:cs="Times New Roman"/>
                <w:kern w:val="0"/>
                <w:szCs w:val="21"/>
              </w:rPr>
              <w:t>”</w:t>
            </w:r>
            <w:r>
              <w:rPr>
                <w:rFonts w:hint="eastAsia" w:ascii="方正仿宋_GBK" w:hAnsi="宋体" w:eastAsia="方正仿宋_GBK" w:cs="Times New Roman"/>
                <w:kern w:val="0"/>
                <w:szCs w:val="21"/>
              </w:rPr>
              <w:t>规划（</w:t>
            </w:r>
            <w:r>
              <w:rPr>
                <w:rFonts w:hint="eastAsia" w:ascii="方正仿宋_GBK" w:hAnsi="Times New Roman" w:eastAsia="方正仿宋_GBK" w:cs="Times New Roman"/>
                <w:kern w:val="0"/>
                <w:szCs w:val="21"/>
              </w:rPr>
              <w:t>2021-2025</w:t>
            </w:r>
            <w:r>
              <w:rPr>
                <w:rFonts w:hint="eastAsia" w:ascii="方正仿宋_GBK" w:hAnsi="宋体" w:eastAsia="方正仿宋_GBK"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11</w:t>
            </w:r>
          </w:p>
        </w:tc>
        <w:tc>
          <w:tcPr>
            <w:tcW w:w="1213" w:type="dxa"/>
            <w:noWrap/>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雨水调蓄储存设施建设</w:t>
            </w:r>
          </w:p>
        </w:tc>
        <w:tc>
          <w:tcPr>
            <w:tcW w:w="1560"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玉屏河生态树池改造项目</w:t>
            </w:r>
          </w:p>
        </w:tc>
        <w:tc>
          <w:tcPr>
            <w:tcW w:w="85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胜利路街道</w:t>
            </w:r>
          </w:p>
        </w:tc>
        <w:tc>
          <w:tcPr>
            <w:tcW w:w="2533"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对玉屏河生态树池进行改造</w:t>
            </w:r>
          </w:p>
        </w:tc>
        <w:tc>
          <w:tcPr>
            <w:tcW w:w="129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2020~2021</w:t>
            </w:r>
          </w:p>
        </w:tc>
        <w:tc>
          <w:tcPr>
            <w:tcW w:w="931" w:type="dxa"/>
            <w:noWrap w:val="0"/>
            <w:vAlign w:val="center"/>
          </w:tcPr>
          <w:p>
            <w:pPr>
              <w:jc w:val="center"/>
              <w:rPr>
                <w:rFonts w:ascii="方正仿宋_GBK" w:eastAsia="方正仿宋_GBK"/>
                <w:szCs w:val="21"/>
              </w:rPr>
            </w:pPr>
            <w:r>
              <w:rPr>
                <w:rFonts w:hint="eastAsia" w:ascii="方正仿宋_GBK" w:hAnsi="宋体" w:eastAsia="方正仿宋_GBK" w:cs="宋体"/>
                <w:kern w:val="0"/>
                <w:szCs w:val="21"/>
              </w:rPr>
              <w:t>城管局</w:t>
            </w:r>
          </w:p>
        </w:tc>
        <w:tc>
          <w:tcPr>
            <w:tcW w:w="1005" w:type="dxa"/>
            <w:noWrap w:val="0"/>
            <w:vAlign w:val="center"/>
          </w:tcPr>
          <w:p>
            <w:pPr>
              <w:jc w:val="center"/>
              <w:rPr>
                <w:rFonts w:ascii="方正仿宋_GBK" w:eastAsia="方正仿宋_GBK"/>
                <w:szCs w:val="21"/>
              </w:rPr>
            </w:pPr>
          </w:p>
        </w:tc>
        <w:tc>
          <w:tcPr>
            <w:tcW w:w="99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200</w:t>
            </w: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1485" w:type="dxa"/>
            <w:vMerge w:val="continue"/>
            <w:noWrap w:val="0"/>
            <w:vAlign w:val="center"/>
          </w:tcPr>
          <w:p>
            <w:pPr>
              <w:snapToGrid w:val="0"/>
              <w:spacing w:line="240" w:lineRule="atLeast"/>
              <w:jc w:val="center"/>
              <w:rPr>
                <w:rFonts w:ascii="方正仿宋_GBK"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12</w:t>
            </w:r>
          </w:p>
        </w:tc>
        <w:tc>
          <w:tcPr>
            <w:tcW w:w="121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道路工程项目</w:t>
            </w:r>
          </w:p>
        </w:tc>
        <w:tc>
          <w:tcPr>
            <w:tcW w:w="1560"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文曲广场、体育馆广场整治项目</w:t>
            </w:r>
          </w:p>
        </w:tc>
        <w:tc>
          <w:tcPr>
            <w:tcW w:w="85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胜利路街道</w:t>
            </w:r>
          </w:p>
        </w:tc>
        <w:tc>
          <w:tcPr>
            <w:tcW w:w="2533"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在文曲广场、体育馆对面广场开展道路与广场改造建设</w:t>
            </w:r>
          </w:p>
        </w:tc>
        <w:tc>
          <w:tcPr>
            <w:tcW w:w="129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2020~2021</w:t>
            </w:r>
          </w:p>
        </w:tc>
        <w:tc>
          <w:tcPr>
            <w:tcW w:w="931" w:type="dxa"/>
            <w:noWrap w:val="0"/>
            <w:vAlign w:val="center"/>
          </w:tcPr>
          <w:p>
            <w:pPr>
              <w:jc w:val="center"/>
              <w:rPr>
                <w:rFonts w:ascii="方正仿宋_GBK" w:eastAsia="方正仿宋_GBK"/>
                <w:szCs w:val="21"/>
              </w:rPr>
            </w:pPr>
            <w:r>
              <w:rPr>
                <w:rFonts w:hint="eastAsia" w:ascii="方正仿宋_GBK" w:hAnsi="宋体" w:eastAsia="方正仿宋_GBK" w:cs="宋体"/>
                <w:kern w:val="0"/>
                <w:szCs w:val="21"/>
              </w:rPr>
              <w:t>城管局</w:t>
            </w:r>
          </w:p>
        </w:tc>
        <w:tc>
          <w:tcPr>
            <w:tcW w:w="1005" w:type="dxa"/>
            <w:noWrap w:val="0"/>
            <w:vAlign w:val="center"/>
          </w:tcPr>
          <w:p>
            <w:pPr>
              <w:jc w:val="center"/>
              <w:rPr>
                <w:rFonts w:ascii="方正仿宋_GBK" w:eastAsia="方正仿宋_GBK"/>
                <w:szCs w:val="21"/>
              </w:rPr>
            </w:pPr>
          </w:p>
        </w:tc>
        <w:tc>
          <w:tcPr>
            <w:tcW w:w="99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350</w:t>
            </w: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1485" w:type="dxa"/>
            <w:vMerge w:val="continue"/>
            <w:noWrap w:val="0"/>
            <w:vAlign w:val="center"/>
          </w:tcPr>
          <w:p>
            <w:pPr>
              <w:snapToGrid w:val="0"/>
              <w:spacing w:line="240" w:lineRule="atLeast"/>
              <w:jc w:val="center"/>
              <w:rPr>
                <w:rFonts w:ascii="方正仿宋_GBK"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13</w:t>
            </w:r>
          </w:p>
        </w:tc>
        <w:tc>
          <w:tcPr>
            <w:tcW w:w="1213" w:type="dxa"/>
            <w:noWrap/>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雨水调蓄储存设施建设</w:t>
            </w:r>
          </w:p>
        </w:tc>
        <w:tc>
          <w:tcPr>
            <w:tcW w:w="1560"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萱花河生态树池改造项目</w:t>
            </w:r>
          </w:p>
        </w:tc>
        <w:tc>
          <w:tcPr>
            <w:tcW w:w="85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胜利路街道</w:t>
            </w:r>
          </w:p>
        </w:tc>
        <w:tc>
          <w:tcPr>
            <w:tcW w:w="2533"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对萱花河生态树池进行改造</w:t>
            </w:r>
          </w:p>
        </w:tc>
        <w:tc>
          <w:tcPr>
            <w:tcW w:w="129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2020~2021</w:t>
            </w:r>
          </w:p>
        </w:tc>
        <w:tc>
          <w:tcPr>
            <w:tcW w:w="931" w:type="dxa"/>
            <w:noWrap w:val="0"/>
            <w:vAlign w:val="center"/>
          </w:tcPr>
          <w:p>
            <w:pPr>
              <w:jc w:val="center"/>
              <w:rPr>
                <w:rFonts w:ascii="方正仿宋_GBK" w:eastAsia="方正仿宋_GBK"/>
                <w:szCs w:val="21"/>
              </w:rPr>
            </w:pPr>
            <w:r>
              <w:rPr>
                <w:rFonts w:hint="eastAsia" w:ascii="方正仿宋_GBK" w:hAnsi="宋体" w:eastAsia="方正仿宋_GBK" w:cs="宋体"/>
                <w:kern w:val="0"/>
                <w:szCs w:val="21"/>
              </w:rPr>
              <w:t>城管局</w:t>
            </w:r>
          </w:p>
        </w:tc>
        <w:tc>
          <w:tcPr>
            <w:tcW w:w="1005" w:type="dxa"/>
            <w:noWrap w:val="0"/>
            <w:vAlign w:val="center"/>
          </w:tcPr>
          <w:p>
            <w:pPr>
              <w:jc w:val="center"/>
              <w:rPr>
                <w:rFonts w:ascii="方正仿宋_GBK" w:eastAsia="方正仿宋_GBK"/>
                <w:szCs w:val="21"/>
              </w:rPr>
            </w:pPr>
          </w:p>
        </w:tc>
        <w:tc>
          <w:tcPr>
            <w:tcW w:w="99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200</w:t>
            </w: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1485" w:type="dxa"/>
            <w:vMerge w:val="continue"/>
            <w:noWrap w:val="0"/>
            <w:vAlign w:val="center"/>
          </w:tcPr>
          <w:p>
            <w:pPr>
              <w:snapToGrid w:val="0"/>
              <w:spacing w:line="240" w:lineRule="atLeast"/>
              <w:jc w:val="center"/>
              <w:rPr>
                <w:rFonts w:ascii="方正仿宋_GBK"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50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14</w:t>
            </w:r>
          </w:p>
        </w:tc>
        <w:tc>
          <w:tcPr>
            <w:tcW w:w="121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下凹式绿地</w:t>
            </w:r>
          </w:p>
        </w:tc>
        <w:tc>
          <w:tcPr>
            <w:tcW w:w="1560"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兴龙大道人行绿化带改造项目</w:t>
            </w:r>
          </w:p>
        </w:tc>
        <w:tc>
          <w:tcPr>
            <w:tcW w:w="85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中山路街道</w:t>
            </w:r>
          </w:p>
        </w:tc>
        <w:tc>
          <w:tcPr>
            <w:tcW w:w="2533"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在兴龙大道利用人行道绿化带贯彻海绵理念，进行改造建设</w:t>
            </w:r>
          </w:p>
        </w:tc>
        <w:tc>
          <w:tcPr>
            <w:tcW w:w="129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2020~2021</w:t>
            </w:r>
          </w:p>
        </w:tc>
        <w:tc>
          <w:tcPr>
            <w:tcW w:w="931" w:type="dxa"/>
            <w:noWrap w:val="0"/>
            <w:vAlign w:val="center"/>
          </w:tcPr>
          <w:p>
            <w:pPr>
              <w:jc w:val="center"/>
              <w:rPr>
                <w:rFonts w:ascii="方正仿宋_GBK" w:eastAsia="方正仿宋_GBK"/>
                <w:szCs w:val="21"/>
              </w:rPr>
            </w:pPr>
            <w:r>
              <w:rPr>
                <w:rFonts w:hint="eastAsia" w:ascii="方正仿宋_GBK" w:hAnsi="宋体" w:eastAsia="方正仿宋_GBK" w:cs="宋体"/>
                <w:kern w:val="0"/>
                <w:szCs w:val="21"/>
              </w:rPr>
              <w:t>城管局</w:t>
            </w:r>
          </w:p>
        </w:tc>
        <w:tc>
          <w:tcPr>
            <w:tcW w:w="1005" w:type="dxa"/>
            <w:noWrap w:val="0"/>
            <w:vAlign w:val="center"/>
          </w:tcPr>
          <w:p>
            <w:pPr>
              <w:jc w:val="center"/>
              <w:rPr>
                <w:rFonts w:ascii="方正仿宋_GBK" w:eastAsia="方正仿宋_GBK"/>
                <w:szCs w:val="21"/>
              </w:rPr>
            </w:pPr>
          </w:p>
        </w:tc>
        <w:tc>
          <w:tcPr>
            <w:tcW w:w="99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500</w:t>
            </w: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1485" w:type="dxa"/>
            <w:vMerge w:val="continue"/>
            <w:noWrap w:val="0"/>
            <w:vAlign w:val="center"/>
          </w:tcPr>
          <w:p>
            <w:pPr>
              <w:widowControl/>
              <w:snapToGrid w:val="0"/>
              <w:spacing w:line="240" w:lineRule="atLeast"/>
              <w:jc w:val="center"/>
              <w:rPr>
                <w:rFonts w:ascii="方正仿宋_GBK"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15</w:t>
            </w:r>
          </w:p>
        </w:tc>
        <w:tc>
          <w:tcPr>
            <w:tcW w:w="121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人工湿地工程项目</w:t>
            </w:r>
          </w:p>
        </w:tc>
        <w:tc>
          <w:tcPr>
            <w:tcW w:w="1560"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旺龙湖湿地公园项目</w:t>
            </w:r>
          </w:p>
        </w:tc>
        <w:tc>
          <w:tcPr>
            <w:tcW w:w="85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中山路街道</w:t>
            </w:r>
          </w:p>
        </w:tc>
        <w:tc>
          <w:tcPr>
            <w:tcW w:w="2533"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实施旺龙湖湿地公园建设</w:t>
            </w:r>
          </w:p>
        </w:tc>
        <w:tc>
          <w:tcPr>
            <w:tcW w:w="129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2021~2023</w:t>
            </w:r>
          </w:p>
        </w:tc>
        <w:tc>
          <w:tcPr>
            <w:tcW w:w="931" w:type="dxa"/>
            <w:noWrap w:val="0"/>
            <w:vAlign w:val="center"/>
          </w:tcPr>
          <w:p>
            <w:pPr>
              <w:jc w:val="center"/>
              <w:rPr>
                <w:rFonts w:ascii="方正仿宋_GBK" w:eastAsia="方正仿宋_GBK"/>
                <w:szCs w:val="21"/>
              </w:rPr>
            </w:pPr>
            <w:r>
              <w:rPr>
                <w:rFonts w:hint="eastAsia" w:ascii="方正仿宋_GBK" w:hAnsi="宋体" w:eastAsia="方正仿宋_GBK" w:cs="宋体"/>
                <w:kern w:val="0"/>
                <w:szCs w:val="21"/>
              </w:rPr>
              <w:t>城管局</w:t>
            </w:r>
          </w:p>
        </w:tc>
        <w:tc>
          <w:tcPr>
            <w:tcW w:w="1005" w:type="dxa"/>
            <w:noWrap w:val="0"/>
            <w:vAlign w:val="center"/>
          </w:tcPr>
          <w:p>
            <w:pPr>
              <w:jc w:val="center"/>
              <w:rPr>
                <w:rFonts w:ascii="方正仿宋_GBK" w:eastAsia="方正仿宋_GBK"/>
                <w:szCs w:val="21"/>
              </w:rPr>
            </w:pPr>
          </w:p>
        </w:tc>
        <w:tc>
          <w:tcPr>
            <w:tcW w:w="99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500</w:t>
            </w: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1485" w:type="dxa"/>
            <w:vMerge w:val="continue"/>
            <w:noWrap w:val="0"/>
            <w:vAlign w:val="center"/>
          </w:tcPr>
          <w:p>
            <w:pPr>
              <w:widowControl/>
              <w:snapToGrid w:val="0"/>
              <w:spacing w:line="240" w:lineRule="atLeast"/>
              <w:jc w:val="center"/>
              <w:rPr>
                <w:rFonts w:ascii="方正仿宋_GBK"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16</w:t>
            </w:r>
          </w:p>
        </w:tc>
        <w:tc>
          <w:tcPr>
            <w:tcW w:w="1213"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人工湿地工程项目</w:t>
            </w:r>
          </w:p>
        </w:tc>
        <w:tc>
          <w:tcPr>
            <w:tcW w:w="1560"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临江河湿地建设项目</w:t>
            </w:r>
          </w:p>
        </w:tc>
        <w:tc>
          <w:tcPr>
            <w:tcW w:w="85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中山路街道</w:t>
            </w:r>
          </w:p>
        </w:tc>
        <w:tc>
          <w:tcPr>
            <w:tcW w:w="2533" w:type="dxa"/>
            <w:noWrap w:val="0"/>
            <w:vAlign w:val="center"/>
          </w:tcPr>
          <w:p>
            <w:pPr>
              <w:widowControl/>
              <w:snapToGrid w:val="0"/>
              <w:spacing w:line="240" w:lineRule="atLeast"/>
              <w:jc w:val="left"/>
              <w:rPr>
                <w:rFonts w:ascii="方正仿宋_GBK" w:hAnsi="宋体" w:eastAsia="方正仿宋_GBK" w:cs="宋体"/>
                <w:kern w:val="0"/>
                <w:szCs w:val="21"/>
              </w:rPr>
            </w:pPr>
            <w:r>
              <w:rPr>
                <w:rFonts w:hint="eastAsia" w:ascii="方正仿宋_GBK" w:hAnsi="宋体" w:eastAsia="方正仿宋_GBK" w:cs="宋体"/>
                <w:kern w:val="0"/>
                <w:szCs w:val="21"/>
              </w:rPr>
              <w:t>实施临江河湿地项目建设</w:t>
            </w:r>
          </w:p>
        </w:tc>
        <w:tc>
          <w:tcPr>
            <w:tcW w:w="129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2022~2023</w:t>
            </w:r>
          </w:p>
        </w:tc>
        <w:tc>
          <w:tcPr>
            <w:tcW w:w="931" w:type="dxa"/>
            <w:noWrap w:val="0"/>
            <w:vAlign w:val="center"/>
          </w:tcPr>
          <w:p>
            <w:pPr>
              <w:jc w:val="center"/>
              <w:rPr>
                <w:rFonts w:ascii="方正仿宋_GBK" w:eastAsia="方正仿宋_GBK"/>
                <w:szCs w:val="21"/>
              </w:rPr>
            </w:pPr>
            <w:r>
              <w:rPr>
                <w:rFonts w:hint="eastAsia" w:ascii="方正仿宋_GBK" w:hAnsi="宋体" w:eastAsia="方正仿宋_GBK" w:cs="宋体"/>
                <w:kern w:val="0"/>
                <w:szCs w:val="21"/>
              </w:rPr>
              <w:t>城管局</w:t>
            </w:r>
          </w:p>
        </w:tc>
        <w:tc>
          <w:tcPr>
            <w:tcW w:w="1005" w:type="dxa"/>
            <w:noWrap w:val="0"/>
            <w:vAlign w:val="center"/>
          </w:tcPr>
          <w:p>
            <w:pPr>
              <w:jc w:val="center"/>
              <w:rPr>
                <w:rFonts w:ascii="方正仿宋_GBK" w:eastAsia="方正仿宋_GBK"/>
                <w:szCs w:val="21"/>
              </w:rPr>
            </w:pPr>
          </w:p>
        </w:tc>
        <w:tc>
          <w:tcPr>
            <w:tcW w:w="99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500</w:t>
            </w: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w:t>
            </w:r>
          </w:p>
        </w:tc>
        <w:tc>
          <w:tcPr>
            <w:tcW w:w="1485" w:type="dxa"/>
            <w:vMerge w:val="continue"/>
            <w:noWrap w:val="0"/>
            <w:vAlign w:val="center"/>
          </w:tcPr>
          <w:p>
            <w:pPr>
              <w:widowControl/>
              <w:snapToGrid w:val="0"/>
              <w:spacing w:line="240" w:lineRule="atLeast"/>
              <w:jc w:val="center"/>
              <w:rPr>
                <w:rFonts w:ascii="方正仿宋_GBK"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716" w:type="dxa"/>
            <w:gridSpan w:val="2"/>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合计</w:t>
            </w:r>
          </w:p>
        </w:tc>
        <w:tc>
          <w:tcPr>
            <w:tcW w:w="1560"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850"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2533"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1294"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931"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1005"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990" w:type="dxa"/>
            <w:noWrap w:val="0"/>
            <w:vAlign w:val="center"/>
          </w:tcPr>
          <w:p>
            <w:pPr>
              <w:widowControl/>
              <w:snapToGrid w:val="0"/>
              <w:spacing w:line="240" w:lineRule="atLeast"/>
              <w:jc w:val="center"/>
              <w:rPr>
                <w:rFonts w:ascii="方正仿宋_GBK" w:hAnsi="宋体" w:eastAsia="方正仿宋_GBK" w:cs="宋体"/>
                <w:kern w:val="0"/>
                <w:szCs w:val="21"/>
              </w:rPr>
            </w:pPr>
            <w:r>
              <w:rPr>
                <w:rFonts w:hint="eastAsia" w:ascii="方正仿宋_GBK" w:hAnsi="宋体" w:eastAsia="方正仿宋_GBK" w:cs="宋体"/>
                <w:kern w:val="0"/>
                <w:szCs w:val="21"/>
              </w:rPr>
              <w:t>4800</w:t>
            </w:r>
          </w:p>
        </w:tc>
        <w:tc>
          <w:tcPr>
            <w:tcW w:w="476"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4"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540" w:type="dxa"/>
            <w:noWrap w:val="0"/>
            <w:vAlign w:val="center"/>
          </w:tcPr>
          <w:p>
            <w:pPr>
              <w:widowControl/>
              <w:snapToGrid w:val="0"/>
              <w:spacing w:line="240" w:lineRule="atLeast"/>
              <w:jc w:val="center"/>
              <w:rPr>
                <w:rFonts w:ascii="方正仿宋_GBK" w:hAnsi="宋体" w:eastAsia="方正仿宋_GBK" w:cs="宋体"/>
                <w:kern w:val="0"/>
                <w:szCs w:val="21"/>
              </w:rPr>
            </w:pPr>
          </w:p>
        </w:tc>
        <w:tc>
          <w:tcPr>
            <w:tcW w:w="1485" w:type="dxa"/>
            <w:noWrap w:val="0"/>
            <w:vAlign w:val="center"/>
          </w:tcPr>
          <w:p>
            <w:pPr>
              <w:widowControl/>
              <w:snapToGrid w:val="0"/>
              <w:spacing w:line="240" w:lineRule="atLeast"/>
              <w:jc w:val="center"/>
              <w:rPr>
                <w:rFonts w:ascii="方正仿宋_GBK" w:hAnsi="Times New Roman" w:eastAsia="方正仿宋_GBK" w:cs="Times New Roman"/>
                <w:kern w:val="0"/>
                <w:szCs w:val="21"/>
              </w:rPr>
            </w:pPr>
          </w:p>
        </w:tc>
      </w:tr>
    </w:tbl>
    <w:p>
      <w:pPr>
        <w:adjustRightInd w:val="0"/>
        <w:snapToGrid w:val="0"/>
        <w:spacing w:line="520" w:lineRule="exact"/>
        <w:ind w:firstLine="600" w:firstLineChars="200"/>
        <w:outlineLvl w:val="9"/>
        <w:rPr>
          <w:rFonts w:ascii="方正仿宋_GBK" w:hAnsi="宋体" w:eastAsia="方正仿宋_GBK"/>
          <w:sz w:val="30"/>
          <w:szCs w:val="30"/>
        </w:rPr>
        <w:sectPr>
          <w:pgSz w:w="16838" w:h="11905" w:orient="landscape"/>
          <w:pgMar w:top="1587" w:right="2098" w:bottom="1474" w:left="1984" w:header="851" w:footer="1474" w:gutter="0"/>
          <w:pgNumType w:fmt="numberInDash"/>
          <w:cols w:space="720" w:num="1"/>
          <w:rtlGutter w:val="0"/>
          <w:docGrid w:type="lines" w:linePitch="327" w:charSpace="0"/>
        </w:sectPr>
      </w:pPr>
    </w:p>
    <w:p>
      <w:pPr>
        <w:pageBreakBefore w:val="0"/>
        <w:kinsoku/>
        <w:wordWrap/>
        <w:overflowPunct/>
        <w:topLinePunct w:val="0"/>
        <w:autoSpaceDE/>
        <w:autoSpaceDN/>
        <w:bidi w:val="0"/>
        <w:spacing w:line="276" w:lineRule="auto"/>
        <w:ind w:firstLine="0" w:firstLineChars="0"/>
        <w:jc w:val="both"/>
        <w:textAlignment w:val="auto"/>
        <w:outlineLvl w:val="1"/>
        <w:rPr>
          <w:rFonts w:hint="eastAsia" w:ascii="方正仿宋_GBK" w:hAnsi="方正仿宋_GBK" w:eastAsia="方正仿宋_GBK" w:cs="方正仿宋_GBK"/>
          <w:sz w:val="32"/>
          <w:szCs w:val="32"/>
        </w:rPr>
      </w:pPr>
      <w:bookmarkStart w:id="208" w:name="_Toc1520238129"/>
      <w:bookmarkStart w:id="209" w:name="_Toc1300960946"/>
      <w:bookmarkStart w:id="210" w:name="_Toc1331780223"/>
      <w:r>
        <w:rPr>
          <w:rFonts w:hint="eastAsia" w:ascii="方正仿宋_GBK" w:hAnsi="方正仿宋_GBK" w:eastAsia="方正仿宋_GBK" w:cs="方正仿宋_GBK"/>
          <w:sz w:val="32"/>
          <w:szCs w:val="32"/>
        </w:rPr>
        <w:t>附表5</w:t>
      </w:r>
    </w:p>
    <w:p>
      <w:pPr>
        <w:pageBreakBefore w:val="0"/>
        <w:kinsoku/>
        <w:wordWrap/>
        <w:overflowPunct/>
        <w:topLinePunct w:val="0"/>
        <w:autoSpaceDE/>
        <w:autoSpaceDN/>
        <w:bidi w:val="0"/>
        <w:spacing w:line="276" w:lineRule="auto"/>
        <w:ind w:firstLine="0" w:firstLineChars="0"/>
        <w:jc w:val="center"/>
        <w:textAlignment w:val="auto"/>
        <w:outlineLvl w:val="1"/>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永川区“十四五”能力建设项目</w:t>
      </w:r>
      <w:bookmarkEnd w:id="208"/>
      <w:bookmarkEnd w:id="209"/>
      <w:bookmarkEnd w:id="210"/>
    </w:p>
    <w:tbl>
      <w:tblPr>
        <w:tblStyle w:val="17"/>
        <w:tblW w:w="5000" w:type="pct"/>
        <w:jc w:val="center"/>
        <w:tblLayout w:type="autofit"/>
        <w:tblCellMar>
          <w:top w:w="0" w:type="dxa"/>
          <w:left w:w="108" w:type="dxa"/>
          <w:bottom w:w="0" w:type="dxa"/>
          <w:right w:w="108" w:type="dxa"/>
        </w:tblCellMar>
      </w:tblPr>
      <w:tblGrid>
        <w:gridCol w:w="617"/>
        <w:gridCol w:w="1175"/>
        <w:gridCol w:w="1754"/>
        <w:gridCol w:w="1180"/>
        <w:gridCol w:w="1601"/>
        <w:gridCol w:w="1300"/>
        <w:gridCol w:w="1038"/>
        <w:gridCol w:w="1038"/>
        <w:gridCol w:w="1297"/>
        <w:gridCol w:w="1040"/>
        <w:gridCol w:w="932"/>
      </w:tblGrid>
      <w:tr>
        <w:tblPrEx>
          <w:tblCellMar>
            <w:top w:w="0" w:type="dxa"/>
            <w:left w:w="108" w:type="dxa"/>
            <w:bottom w:w="0" w:type="dxa"/>
            <w:right w:w="108" w:type="dxa"/>
          </w:tblCellMar>
        </w:tblPrEx>
        <w:trPr>
          <w:trHeight w:val="552" w:hRule="atLeast"/>
          <w:jc w:val="center"/>
        </w:trPr>
        <w:tc>
          <w:tcPr>
            <w:tcW w:w="238"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序号</w:t>
            </w:r>
          </w:p>
        </w:tc>
        <w:tc>
          <w:tcPr>
            <w:tcW w:w="452" w:type="pct"/>
            <w:tcBorders>
              <w:top w:val="single" w:color="auto" w:sz="4" w:space="0"/>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项目类别</w:t>
            </w:r>
          </w:p>
        </w:tc>
        <w:tc>
          <w:tcPr>
            <w:tcW w:w="676" w:type="pct"/>
            <w:tcBorders>
              <w:top w:val="single" w:color="auto" w:sz="4" w:space="0"/>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项目名称</w:t>
            </w:r>
          </w:p>
        </w:tc>
        <w:tc>
          <w:tcPr>
            <w:tcW w:w="455" w:type="pct"/>
            <w:tcBorders>
              <w:top w:val="single" w:color="auto" w:sz="4" w:space="0"/>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项目所在地</w:t>
            </w:r>
          </w:p>
        </w:tc>
        <w:tc>
          <w:tcPr>
            <w:tcW w:w="617" w:type="pct"/>
            <w:tcBorders>
              <w:top w:val="single" w:color="auto" w:sz="4" w:space="0"/>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主要建设内容</w:t>
            </w:r>
          </w:p>
        </w:tc>
        <w:tc>
          <w:tcPr>
            <w:tcW w:w="501" w:type="pct"/>
            <w:tcBorders>
              <w:top w:val="single" w:color="auto" w:sz="4" w:space="0"/>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建设时限</w:t>
            </w:r>
          </w:p>
        </w:tc>
        <w:tc>
          <w:tcPr>
            <w:tcW w:w="400" w:type="pct"/>
            <w:tcBorders>
              <w:top w:val="single" w:color="auto" w:sz="4" w:space="0"/>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负责部门</w:t>
            </w:r>
          </w:p>
        </w:tc>
        <w:tc>
          <w:tcPr>
            <w:tcW w:w="400" w:type="pct"/>
            <w:tcBorders>
              <w:top w:val="single" w:color="auto" w:sz="4" w:space="0"/>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预期效果</w:t>
            </w:r>
          </w:p>
        </w:tc>
        <w:tc>
          <w:tcPr>
            <w:tcW w:w="500" w:type="pct"/>
            <w:tcBorders>
              <w:top w:val="single" w:color="auto" w:sz="4" w:space="0"/>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投资（万元）</w:t>
            </w:r>
          </w:p>
        </w:tc>
        <w:tc>
          <w:tcPr>
            <w:tcW w:w="401" w:type="pct"/>
            <w:tcBorders>
              <w:top w:val="single" w:color="auto" w:sz="4" w:space="0"/>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投资渠道</w:t>
            </w:r>
          </w:p>
        </w:tc>
        <w:tc>
          <w:tcPr>
            <w:tcW w:w="360" w:type="pct"/>
            <w:tcBorders>
              <w:top w:val="single" w:color="auto" w:sz="4" w:space="0"/>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备注</w:t>
            </w:r>
          </w:p>
        </w:tc>
      </w:tr>
      <w:tr>
        <w:tblPrEx>
          <w:tblCellMar>
            <w:top w:w="0" w:type="dxa"/>
            <w:left w:w="108" w:type="dxa"/>
            <w:bottom w:w="0" w:type="dxa"/>
            <w:right w:w="108" w:type="dxa"/>
          </w:tblCellMar>
        </w:tblPrEx>
        <w:trPr>
          <w:trHeight w:val="20" w:hRule="atLeast"/>
          <w:jc w:val="center"/>
        </w:trPr>
        <w:tc>
          <w:tcPr>
            <w:tcW w:w="238" w:type="pct"/>
            <w:tcBorders>
              <w:top w:val="nil"/>
              <w:left w:val="single" w:color="auto" w:sz="4" w:space="0"/>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1</w:t>
            </w:r>
          </w:p>
        </w:tc>
        <w:tc>
          <w:tcPr>
            <w:tcW w:w="452"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取用水监管</w:t>
            </w:r>
          </w:p>
        </w:tc>
        <w:tc>
          <w:tcPr>
            <w:tcW w:w="676"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连通工程管理体制建设</w:t>
            </w:r>
          </w:p>
        </w:tc>
        <w:tc>
          <w:tcPr>
            <w:tcW w:w="455"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永川区</w:t>
            </w:r>
          </w:p>
        </w:tc>
        <w:tc>
          <w:tcPr>
            <w:tcW w:w="617" w:type="pct"/>
            <w:tcBorders>
              <w:top w:val="nil"/>
              <w:left w:val="nil"/>
              <w:bottom w:val="single" w:color="auto" w:sz="4" w:space="0"/>
              <w:right w:val="single" w:color="auto" w:sz="4" w:space="0"/>
            </w:tcBorders>
            <w:shd w:val="clear" w:color="000000" w:fill="FFFFFF"/>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五个河湖连通的管理体制</w:t>
            </w:r>
          </w:p>
        </w:tc>
        <w:tc>
          <w:tcPr>
            <w:tcW w:w="501"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2021年</w:t>
            </w:r>
          </w:p>
        </w:tc>
        <w:tc>
          <w:tcPr>
            <w:tcW w:w="400"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区水利局</w:t>
            </w:r>
          </w:p>
        </w:tc>
        <w:tc>
          <w:tcPr>
            <w:tcW w:w="400"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　</w:t>
            </w:r>
          </w:p>
        </w:tc>
        <w:tc>
          <w:tcPr>
            <w:tcW w:w="500" w:type="pct"/>
            <w:tcBorders>
              <w:top w:val="nil"/>
              <w:left w:val="nil"/>
              <w:bottom w:val="single" w:color="auto" w:sz="4" w:space="0"/>
              <w:right w:val="single" w:color="auto" w:sz="4" w:space="0"/>
            </w:tcBorders>
            <w:shd w:val="clear" w:color="000000" w:fill="FFFFFF"/>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100</w:t>
            </w:r>
          </w:p>
        </w:tc>
        <w:tc>
          <w:tcPr>
            <w:tcW w:w="40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市级、地方</w:t>
            </w:r>
          </w:p>
        </w:tc>
        <w:tc>
          <w:tcPr>
            <w:tcW w:w="360" w:type="pct"/>
            <w:vMerge w:val="restart"/>
            <w:tcBorders>
              <w:top w:val="nil"/>
              <w:left w:val="single" w:color="auto" w:sz="4" w:space="0"/>
              <w:bottom w:val="single" w:color="000000"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已纳入《永川区“十四五”水安全保障规划</w:t>
            </w:r>
          </w:p>
        </w:tc>
      </w:tr>
      <w:tr>
        <w:tblPrEx>
          <w:tblCellMar>
            <w:top w:w="0" w:type="dxa"/>
            <w:left w:w="108" w:type="dxa"/>
            <w:bottom w:w="0" w:type="dxa"/>
            <w:right w:w="108" w:type="dxa"/>
          </w:tblCellMar>
        </w:tblPrEx>
        <w:trPr>
          <w:trHeight w:val="532" w:hRule="atLeast"/>
          <w:jc w:val="center"/>
        </w:trPr>
        <w:tc>
          <w:tcPr>
            <w:tcW w:w="238" w:type="pct"/>
            <w:tcBorders>
              <w:top w:val="nil"/>
              <w:left w:val="single" w:color="auto" w:sz="4" w:space="0"/>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2</w:t>
            </w:r>
          </w:p>
        </w:tc>
        <w:tc>
          <w:tcPr>
            <w:tcW w:w="452"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取用水监管</w:t>
            </w:r>
          </w:p>
        </w:tc>
        <w:tc>
          <w:tcPr>
            <w:tcW w:w="676" w:type="pct"/>
            <w:tcBorders>
              <w:top w:val="nil"/>
              <w:left w:val="nil"/>
              <w:bottom w:val="single" w:color="auto" w:sz="4" w:space="0"/>
              <w:right w:val="single" w:color="auto" w:sz="4" w:space="0"/>
            </w:tcBorders>
            <w:shd w:val="clear" w:color="000000" w:fill="FFFFFF"/>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生态补水机制建设</w:t>
            </w:r>
          </w:p>
        </w:tc>
        <w:tc>
          <w:tcPr>
            <w:tcW w:w="455"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永川区</w:t>
            </w:r>
          </w:p>
        </w:tc>
        <w:tc>
          <w:tcPr>
            <w:tcW w:w="617" w:type="pct"/>
            <w:tcBorders>
              <w:top w:val="nil"/>
              <w:left w:val="nil"/>
              <w:bottom w:val="single" w:color="auto" w:sz="4" w:space="0"/>
              <w:right w:val="single" w:color="auto" w:sz="4" w:space="0"/>
            </w:tcBorders>
            <w:shd w:val="clear" w:color="000000" w:fill="FFFFFF"/>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生态补水机制</w:t>
            </w:r>
          </w:p>
        </w:tc>
        <w:tc>
          <w:tcPr>
            <w:tcW w:w="501"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2021年</w:t>
            </w:r>
          </w:p>
        </w:tc>
        <w:tc>
          <w:tcPr>
            <w:tcW w:w="400"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区水利局</w:t>
            </w:r>
          </w:p>
        </w:tc>
        <w:tc>
          <w:tcPr>
            <w:tcW w:w="400"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　</w:t>
            </w:r>
          </w:p>
        </w:tc>
        <w:tc>
          <w:tcPr>
            <w:tcW w:w="500" w:type="pct"/>
            <w:tcBorders>
              <w:top w:val="nil"/>
              <w:left w:val="nil"/>
              <w:bottom w:val="single" w:color="auto" w:sz="4" w:space="0"/>
              <w:right w:val="single" w:color="auto" w:sz="4" w:space="0"/>
            </w:tcBorders>
            <w:shd w:val="clear" w:color="000000" w:fill="FFFFFF"/>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100</w:t>
            </w:r>
          </w:p>
        </w:tc>
        <w:tc>
          <w:tcPr>
            <w:tcW w:w="40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市级、地方</w:t>
            </w:r>
          </w:p>
        </w:tc>
        <w:tc>
          <w:tcPr>
            <w:tcW w:w="360" w:type="pct"/>
            <w:vMerge w:val="continue"/>
            <w:tcBorders>
              <w:top w:val="nil"/>
              <w:left w:val="single" w:color="auto" w:sz="4" w:space="0"/>
              <w:bottom w:val="single" w:color="000000" w:sz="4" w:space="0"/>
              <w:right w:val="single" w:color="auto" w:sz="4" w:space="0"/>
            </w:tcBorders>
            <w:noWrap w:val="0"/>
            <w:vAlign w:val="center"/>
          </w:tcPr>
          <w:p>
            <w:pPr>
              <w:widowControl/>
              <w:snapToGrid w:val="0"/>
              <w:spacing w:line="240" w:lineRule="atLeast"/>
              <w:jc w:val="left"/>
              <w:rPr>
                <w:rFonts w:ascii="方正仿宋_GBK" w:hAnsi="宋体" w:eastAsia="方正仿宋_GBK" w:cs="宋体"/>
                <w:kern w:val="0"/>
                <w:sz w:val="20"/>
                <w:szCs w:val="20"/>
              </w:rPr>
            </w:pPr>
          </w:p>
        </w:tc>
      </w:tr>
      <w:tr>
        <w:tblPrEx>
          <w:tblCellMar>
            <w:top w:w="0" w:type="dxa"/>
            <w:left w:w="108" w:type="dxa"/>
            <w:bottom w:w="0" w:type="dxa"/>
            <w:right w:w="108" w:type="dxa"/>
          </w:tblCellMar>
        </w:tblPrEx>
        <w:trPr>
          <w:trHeight w:val="20" w:hRule="atLeast"/>
          <w:jc w:val="center"/>
        </w:trPr>
        <w:tc>
          <w:tcPr>
            <w:tcW w:w="238" w:type="pct"/>
            <w:tcBorders>
              <w:top w:val="nil"/>
              <w:left w:val="single" w:color="auto" w:sz="4" w:space="0"/>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3</w:t>
            </w:r>
          </w:p>
        </w:tc>
        <w:tc>
          <w:tcPr>
            <w:tcW w:w="452"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取用水监管</w:t>
            </w:r>
          </w:p>
        </w:tc>
        <w:tc>
          <w:tcPr>
            <w:tcW w:w="676"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水价综合改革项目</w:t>
            </w:r>
          </w:p>
        </w:tc>
        <w:tc>
          <w:tcPr>
            <w:tcW w:w="455"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永川区</w:t>
            </w:r>
          </w:p>
        </w:tc>
        <w:tc>
          <w:tcPr>
            <w:tcW w:w="617" w:type="pct"/>
            <w:tcBorders>
              <w:top w:val="nil"/>
              <w:left w:val="nil"/>
              <w:bottom w:val="single" w:color="auto" w:sz="4" w:space="0"/>
              <w:right w:val="single" w:color="auto" w:sz="4" w:space="0"/>
            </w:tcBorders>
            <w:shd w:val="clear" w:color="000000" w:fill="FFFFFF"/>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城区供水原水价格研究、农业水价改革</w:t>
            </w:r>
          </w:p>
        </w:tc>
        <w:tc>
          <w:tcPr>
            <w:tcW w:w="501"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2021年</w:t>
            </w:r>
          </w:p>
        </w:tc>
        <w:tc>
          <w:tcPr>
            <w:tcW w:w="400"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区水利局</w:t>
            </w:r>
          </w:p>
        </w:tc>
        <w:tc>
          <w:tcPr>
            <w:tcW w:w="400"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　</w:t>
            </w:r>
          </w:p>
        </w:tc>
        <w:tc>
          <w:tcPr>
            <w:tcW w:w="500" w:type="pct"/>
            <w:tcBorders>
              <w:top w:val="nil"/>
              <w:left w:val="nil"/>
              <w:bottom w:val="single" w:color="auto" w:sz="4" w:space="0"/>
              <w:right w:val="single" w:color="auto" w:sz="4" w:space="0"/>
            </w:tcBorders>
            <w:shd w:val="clear" w:color="000000" w:fill="FFFFFF"/>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100</w:t>
            </w:r>
          </w:p>
        </w:tc>
        <w:tc>
          <w:tcPr>
            <w:tcW w:w="40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市级、地方</w:t>
            </w:r>
          </w:p>
        </w:tc>
        <w:tc>
          <w:tcPr>
            <w:tcW w:w="360" w:type="pct"/>
            <w:vMerge w:val="continue"/>
            <w:tcBorders>
              <w:top w:val="nil"/>
              <w:left w:val="single" w:color="auto" w:sz="4" w:space="0"/>
              <w:bottom w:val="single" w:color="000000" w:sz="4" w:space="0"/>
              <w:right w:val="single" w:color="auto" w:sz="4" w:space="0"/>
            </w:tcBorders>
            <w:noWrap w:val="0"/>
            <w:vAlign w:val="center"/>
          </w:tcPr>
          <w:p>
            <w:pPr>
              <w:widowControl/>
              <w:snapToGrid w:val="0"/>
              <w:spacing w:line="240" w:lineRule="atLeast"/>
              <w:jc w:val="left"/>
              <w:rPr>
                <w:rFonts w:ascii="方正仿宋_GBK" w:hAnsi="宋体" w:eastAsia="方正仿宋_GBK" w:cs="宋体"/>
                <w:kern w:val="0"/>
                <w:sz w:val="20"/>
                <w:szCs w:val="20"/>
              </w:rPr>
            </w:pPr>
          </w:p>
        </w:tc>
      </w:tr>
      <w:tr>
        <w:tblPrEx>
          <w:tblCellMar>
            <w:top w:w="0" w:type="dxa"/>
            <w:left w:w="108" w:type="dxa"/>
            <w:bottom w:w="0" w:type="dxa"/>
            <w:right w:w="108" w:type="dxa"/>
          </w:tblCellMar>
        </w:tblPrEx>
        <w:trPr>
          <w:trHeight w:val="20" w:hRule="atLeast"/>
          <w:jc w:val="center"/>
        </w:trPr>
        <w:tc>
          <w:tcPr>
            <w:tcW w:w="238" w:type="pct"/>
            <w:tcBorders>
              <w:top w:val="nil"/>
              <w:left w:val="single" w:color="auto" w:sz="4" w:space="0"/>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4</w:t>
            </w:r>
          </w:p>
        </w:tc>
        <w:tc>
          <w:tcPr>
            <w:tcW w:w="452"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取用水监管</w:t>
            </w:r>
          </w:p>
        </w:tc>
        <w:tc>
          <w:tcPr>
            <w:tcW w:w="676"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水库灌区运行管护机制建设</w:t>
            </w:r>
          </w:p>
        </w:tc>
        <w:tc>
          <w:tcPr>
            <w:tcW w:w="455"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永川区</w:t>
            </w:r>
          </w:p>
        </w:tc>
        <w:tc>
          <w:tcPr>
            <w:tcW w:w="617" w:type="pct"/>
            <w:tcBorders>
              <w:top w:val="nil"/>
              <w:left w:val="nil"/>
              <w:bottom w:val="single" w:color="auto" w:sz="4" w:space="0"/>
              <w:right w:val="single" w:color="auto" w:sz="4" w:space="0"/>
            </w:tcBorders>
            <w:shd w:val="clear" w:color="000000" w:fill="FFFFFF"/>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水库灌区的运行管护机制</w:t>
            </w:r>
          </w:p>
        </w:tc>
        <w:tc>
          <w:tcPr>
            <w:tcW w:w="501"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2021年</w:t>
            </w:r>
          </w:p>
        </w:tc>
        <w:tc>
          <w:tcPr>
            <w:tcW w:w="400"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区水利局</w:t>
            </w:r>
          </w:p>
        </w:tc>
        <w:tc>
          <w:tcPr>
            <w:tcW w:w="400" w:type="pct"/>
            <w:tcBorders>
              <w:top w:val="nil"/>
              <w:left w:val="nil"/>
              <w:bottom w:val="single" w:color="auto" w:sz="4" w:space="0"/>
              <w:right w:val="single" w:color="auto" w:sz="4" w:space="0"/>
            </w:tcBorders>
            <w:shd w:val="clear" w:color="auto" w:fill="auto"/>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　</w:t>
            </w:r>
          </w:p>
        </w:tc>
        <w:tc>
          <w:tcPr>
            <w:tcW w:w="500" w:type="pct"/>
            <w:tcBorders>
              <w:top w:val="nil"/>
              <w:left w:val="nil"/>
              <w:bottom w:val="single" w:color="auto" w:sz="4" w:space="0"/>
              <w:right w:val="single" w:color="auto" w:sz="4" w:space="0"/>
            </w:tcBorders>
            <w:shd w:val="clear" w:color="000000" w:fill="FFFFFF"/>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100</w:t>
            </w:r>
          </w:p>
        </w:tc>
        <w:tc>
          <w:tcPr>
            <w:tcW w:w="40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市级、地方</w:t>
            </w:r>
          </w:p>
        </w:tc>
        <w:tc>
          <w:tcPr>
            <w:tcW w:w="360" w:type="pct"/>
            <w:vMerge w:val="continue"/>
            <w:tcBorders>
              <w:top w:val="nil"/>
              <w:left w:val="single" w:color="auto" w:sz="4" w:space="0"/>
              <w:bottom w:val="single" w:color="000000" w:sz="4" w:space="0"/>
              <w:right w:val="single" w:color="auto" w:sz="4" w:space="0"/>
            </w:tcBorders>
            <w:noWrap w:val="0"/>
            <w:vAlign w:val="center"/>
          </w:tcPr>
          <w:p>
            <w:pPr>
              <w:widowControl/>
              <w:snapToGrid w:val="0"/>
              <w:spacing w:line="240" w:lineRule="atLeast"/>
              <w:jc w:val="left"/>
              <w:rPr>
                <w:rFonts w:ascii="方正仿宋_GBK" w:hAnsi="宋体" w:eastAsia="方正仿宋_GBK" w:cs="宋体"/>
                <w:kern w:val="0"/>
                <w:sz w:val="20"/>
                <w:szCs w:val="20"/>
              </w:rPr>
            </w:pPr>
          </w:p>
        </w:tc>
      </w:tr>
      <w:tr>
        <w:tblPrEx>
          <w:tblCellMar>
            <w:top w:w="0" w:type="dxa"/>
            <w:left w:w="108" w:type="dxa"/>
            <w:bottom w:w="0" w:type="dxa"/>
            <w:right w:w="108" w:type="dxa"/>
          </w:tblCellMar>
        </w:tblPrEx>
        <w:trPr>
          <w:trHeight w:val="20" w:hRule="atLeast"/>
          <w:jc w:val="center"/>
        </w:trPr>
        <w:tc>
          <w:tcPr>
            <w:tcW w:w="238" w:type="pct"/>
            <w:tcBorders>
              <w:top w:val="nil"/>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5</w:t>
            </w:r>
          </w:p>
        </w:tc>
        <w:tc>
          <w:tcPr>
            <w:tcW w:w="452"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取用水监管</w:t>
            </w:r>
          </w:p>
        </w:tc>
        <w:tc>
          <w:tcPr>
            <w:tcW w:w="676"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管理智慧化建设</w:t>
            </w:r>
          </w:p>
        </w:tc>
        <w:tc>
          <w:tcPr>
            <w:tcW w:w="455"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永川区</w:t>
            </w:r>
          </w:p>
        </w:tc>
        <w:tc>
          <w:tcPr>
            <w:tcW w:w="617"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信息平台整合、保障机制</w:t>
            </w:r>
          </w:p>
        </w:tc>
        <w:tc>
          <w:tcPr>
            <w:tcW w:w="50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2021年</w:t>
            </w:r>
          </w:p>
        </w:tc>
        <w:tc>
          <w:tcPr>
            <w:tcW w:w="40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区水利局</w:t>
            </w:r>
          </w:p>
        </w:tc>
        <w:tc>
          <w:tcPr>
            <w:tcW w:w="40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　</w:t>
            </w:r>
          </w:p>
        </w:tc>
        <w:tc>
          <w:tcPr>
            <w:tcW w:w="50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100</w:t>
            </w:r>
          </w:p>
        </w:tc>
        <w:tc>
          <w:tcPr>
            <w:tcW w:w="40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市级、地方</w:t>
            </w:r>
          </w:p>
        </w:tc>
        <w:tc>
          <w:tcPr>
            <w:tcW w:w="360" w:type="pct"/>
            <w:vMerge w:val="continue"/>
            <w:tcBorders>
              <w:top w:val="nil"/>
              <w:left w:val="single" w:color="auto" w:sz="4" w:space="0"/>
              <w:bottom w:val="single" w:color="000000" w:sz="4" w:space="0"/>
              <w:right w:val="single" w:color="auto" w:sz="4" w:space="0"/>
            </w:tcBorders>
            <w:noWrap w:val="0"/>
            <w:vAlign w:val="center"/>
          </w:tcPr>
          <w:p>
            <w:pPr>
              <w:widowControl/>
              <w:snapToGrid w:val="0"/>
              <w:spacing w:line="240" w:lineRule="atLeast"/>
              <w:jc w:val="left"/>
              <w:rPr>
                <w:rFonts w:ascii="方正仿宋_GBK" w:hAnsi="宋体" w:eastAsia="方正仿宋_GBK" w:cs="宋体"/>
                <w:kern w:val="0"/>
                <w:sz w:val="20"/>
                <w:szCs w:val="20"/>
              </w:rPr>
            </w:pPr>
          </w:p>
        </w:tc>
      </w:tr>
      <w:tr>
        <w:tblPrEx>
          <w:tblCellMar>
            <w:top w:w="0" w:type="dxa"/>
            <w:left w:w="108" w:type="dxa"/>
            <w:bottom w:w="0" w:type="dxa"/>
            <w:right w:w="108" w:type="dxa"/>
          </w:tblCellMar>
        </w:tblPrEx>
        <w:trPr>
          <w:trHeight w:val="20" w:hRule="atLeast"/>
          <w:jc w:val="center"/>
        </w:trPr>
        <w:tc>
          <w:tcPr>
            <w:tcW w:w="238" w:type="pct"/>
            <w:tcBorders>
              <w:top w:val="nil"/>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6</w:t>
            </w:r>
          </w:p>
        </w:tc>
        <w:tc>
          <w:tcPr>
            <w:tcW w:w="452"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取用水监管</w:t>
            </w:r>
          </w:p>
        </w:tc>
        <w:tc>
          <w:tcPr>
            <w:tcW w:w="676"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行业建管机制建设</w:t>
            </w:r>
          </w:p>
        </w:tc>
        <w:tc>
          <w:tcPr>
            <w:tcW w:w="455"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永川区</w:t>
            </w:r>
          </w:p>
        </w:tc>
        <w:tc>
          <w:tcPr>
            <w:tcW w:w="617"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完善水利行业建管机制、水利设施运管机制</w:t>
            </w:r>
          </w:p>
        </w:tc>
        <w:tc>
          <w:tcPr>
            <w:tcW w:w="50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2021年</w:t>
            </w:r>
          </w:p>
        </w:tc>
        <w:tc>
          <w:tcPr>
            <w:tcW w:w="40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区水利局</w:t>
            </w:r>
          </w:p>
        </w:tc>
        <w:tc>
          <w:tcPr>
            <w:tcW w:w="40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　</w:t>
            </w:r>
          </w:p>
        </w:tc>
        <w:tc>
          <w:tcPr>
            <w:tcW w:w="50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100</w:t>
            </w:r>
          </w:p>
        </w:tc>
        <w:tc>
          <w:tcPr>
            <w:tcW w:w="401"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市级、地方</w:t>
            </w:r>
          </w:p>
        </w:tc>
        <w:tc>
          <w:tcPr>
            <w:tcW w:w="360" w:type="pct"/>
            <w:vMerge w:val="continue"/>
            <w:tcBorders>
              <w:top w:val="nil"/>
              <w:left w:val="single" w:color="auto" w:sz="4" w:space="0"/>
              <w:bottom w:val="single" w:color="000000" w:sz="4" w:space="0"/>
              <w:right w:val="single" w:color="auto" w:sz="4" w:space="0"/>
            </w:tcBorders>
            <w:noWrap w:val="0"/>
            <w:vAlign w:val="center"/>
          </w:tcPr>
          <w:p>
            <w:pPr>
              <w:widowControl/>
              <w:snapToGrid w:val="0"/>
              <w:spacing w:line="240" w:lineRule="atLeast"/>
              <w:jc w:val="left"/>
              <w:rPr>
                <w:rFonts w:ascii="方正仿宋_GBK" w:hAnsi="宋体" w:eastAsia="方正仿宋_GBK" w:cs="宋体"/>
                <w:kern w:val="0"/>
                <w:sz w:val="20"/>
                <w:szCs w:val="20"/>
              </w:rPr>
            </w:pPr>
          </w:p>
        </w:tc>
      </w:tr>
      <w:tr>
        <w:tblPrEx>
          <w:tblCellMar>
            <w:top w:w="0" w:type="dxa"/>
            <w:left w:w="108" w:type="dxa"/>
            <w:bottom w:w="0" w:type="dxa"/>
            <w:right w:w="108" w:type="dxa"/>
          </w:tblCellMar>
        </w:tblPrEx>
        <w:trPr>
          <w:trHeight w:val="572" w:hRule="atLeast"/>
          <w:jc w:val="center"/>
        </w:trPr>
        <w:tc>
          <w:tcPr>
            <w:tcW w:w="691" w:type="pct"/>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合计</w:t>
            </w:r>
          </w:p>
        </w:tc>
        <w:tc>
          <w:tcPr>
            <w:tcW w:w="676" w:type="pct"/>
            <w:tcBorders>
              <w:top w:val="nil"/>
              <w:left w:val="nil"/>
              <w:bottom w:val="single" w:color="auto" w:sz="4" w:space="0"/>
              <w:right w:val="single" w:color="auto" w:sz="4" w:space="0"/>
            </w:tcBorders>
            <w:noWrap/>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　</w:t>
            </w:r>
          </w:p>
        </w:tc>
        <w:tc>
          <w:tcPr>
            <w:tcW w:w="455" w:type="pct"/>
            <w:tcBorders>
              <w:top w:val="nil"/>
              <w:left w:val="nil"/>
              <w:bottom w:val="single" w:color="auto" w:sz="4" w:space="0"/>
              <w:right w:val="single" w:color="auto" w:sz="4" w:space="0"/>
            </w:tcBorders>
            <w:noWrap/>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　</w:t>
            </w:r>
          </w:p>
        </w:tc>
        <w:tc>
          <w:tcPr>
            <w:tcW w:w="617" w:type="pct"/>
            <w:tcBorders>
              <w:top w:val="nil"/>
              <w:left w:val="nil"/>
              <w:bottom w:val="single" w:color="auto" w:sz="4" w:space="0"/>
              <w:right w:val="single" w:color="auto" w:sz="4" w:space="0"/>
            </w:tcBorders>
            <w:noWrap/>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　</w:t>
            </w:r>
          </w:p>
        </w:tc>
        <w:tc>
          <w:tcPr>
            <w:tcW w:w="501" w:type="pct"/>
            <w:tcBorders>
              <w:top w:val="nil"/>
              <w:left w:val="nil"/>
              <w:bottom w:val="single" w:color="auto" w:sz="4" w:space="0"/>
              <w:right w:val="single" w:color="auto" w:sz="4" w:space="0"/>
            </w:tcBorders>
            <w:noWrap/>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　</w:t>
            </w:r>
          </w:p>
        </w:tc>
        <w:tc>
          <w:tcPr>
            <w:tcW w:w="400" w:type="pct"/>
            <w:tcBorders>
              <w:top w:val="nil"/>
              <w:left w:val="nil"/>
              <w:bottom w:val="single" w:color="auto" w:sz="4" w:space="0"/>
              <w:right w:val="single" w:color="auto" w:sz="4" w:space="0"/>
            </w:tcBorders>
            <w:noWrap/>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　</w:t>
            </w:r>
          </w:p>
        </w:tc>
        <w:tc>
          <w:tcPr>
            <w:tcW w:w="400" w:type="pct"/>
            <w:tcBorders>
              <w:top w:val="nil"/>
              <w:left w:val="nil"/>
              <w:bottom w:val="single" w:color="auto" w:sz="4" w:space="0"/>
              <w:right w:val="single" w:color="auto" w:sz="4" w:space="0"/>
            </w:tcBorders>
            <w:noWrap/>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　</w:t>
            </w:r>
          </w:p>
        </w:tc>
        <w:tc>
          <w:tcPr>
            <w:tcW w:w="500" w:type="pct"/>
            <w:tcBorders>
              <w:top w:val="nil"/>
              <w:left w:val="nil"/>
              <w:bottom w:val="single" w:color="auto" w:sz="4" w:space="0"/>
              <w:right w:val="single" w:color="auto" w:sz="4" w:space="0"/>
            </w:tcBorders>
            <w:noWrap w:val="0"/>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600</w:t>
            </w:r>
          </w:p>
        </w:tc>
        <w:tc>
          <w:tcPr>
            <w:tcW w:w="401" w:type="pct"/>
            <w:tcBorders>
              <w:top w:val="nil"/>
              <w:left w:val="nil"/>
              <w:bottom w:val="single" w:color="auto" w:sz="4" w:space="0"/>
              <w:right w:val="single" w:color="auto" w:sz="4" w:space="0"/>
            </w:tcBorders>
            <w:noWrap/>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　</w:t>
            </w:r>
          </w:p>
        </w:tc>
        <w:tc>
          <w:tcPr>
            <w:tcW w:w="360" w:type="pct"/>
            <w:tcBorders>
              <w:top w:val="nil"/>
              <w:left w:val="nil"/>
              <w:bottom w:val="single" w:color="auto" w:sz="4" w:space="0"/>
              <w:right w:val="single" w:color="auto" w:sz="4" w:space="0"/>
            </w:tcBorders>
            <w:noWrap/>
            <w:vAlign w:val="center"/>
          </w:tcPr>
          <w:p>
            <w:pPr>
              <w:widowControl/>
              <w:snapToGrid w:val="0"/>
              <w:spacing w:line="240" w:lineRule="atLeast"/>
              <w:jc w:val="center"/>
              <w:rPr>
                <w:rFonts w:ascii="方正仿宋_GBK" w:hAnsi="宋体" w:eastAsia="方正仿宋_GBK" w:cs="宋体"/>
                <w:kern w:val="0"/>
                <w:sz w:val="20"/>
                <w:szCs w:val="20"/>
              </w:rPr>
            </w:pPr>
            <w:r>
              <w:rPr>
                <w:rFonts w:hint="eastAsia" w:ascii="方正仿宋_GBK" w:hAnsi="宋体" w:eastAsia="方正仿宋_GBK" w:cs="宋体"/>
                <w:kern w:val="0"/>
                <w:sz w:val="20"/>
                <w:szCs w:val="20"/>
              </w:rPr>
              <w:t>　</w:t>
            </w:r>
          </w:p>
        </w:tc>
      </w:tr>
    </w:tbl>
    <w:p>
      <w:pPr>
        <w:adjustRightInd w:val="0"/>
        <w:snapToGrid w:val="0"/>
        <w:spacing w:line="520" w:lineRule="exact"/>
        <w:ind w:firstLine="0" w:firstLineChars="0"/>
        <w:rPr>
          <w:rFonts w:hint="eastAsia" w:ascii="宋体" w:hAnsi="宋体"/>
          <w:sz w:val="24"/>
          <w:szCs w:val="24"/>
          <w:lang w:eastAsia="zh-CN"/>
        </w:rPr>
        <w:sectPr>
          <w:pgSz w:w="16838" w:h="11905" w:orient="landscape"/>
          <w:pgMar w:top="1587" w:right="2098" w:bottom="1474" w:left="1984" w:header="851" w:footer="1474" w:gutter="0"/>
          <w:pgNumType w:fmt="numberInDash"/>
          <w:cols w:space="720" w:num="1"/>
          <w:rtlGutter w:val="0"/>
          <w:docGrid w:type="lines" w:linePitch="327" w:charSpace="0"/>
        </w:sectPr>
      </w:pPr>
    </w:p>
    <w:p>
      <w:pPr>
        <w:adjustRightInd/>
        <w:snapToGrid/>
        <w:spacing w:line="276" w:lineRule="auto"/>
        <w:ind w:firstLine="0" w:firstLineChars="0"/>
        <w:outlineLvl w:val="1"/>
        <w:rPr>
          <w:rFonts w:hint="eastAsia" w:ascii="方正仿宋_GBK" w:hAnsi="方正仿宋_GBK" w:eastAsia="方正仿宋_GBK" w:cs="方正仿宋_GBK"/>
          <w:sz w:val="32"/>
          <w:szCs w:val="32"/>
          <w:lang w:eastAsia="zh-CN"/>
        </w:rPr>
      </w:pPr>
      <w:bookmarkStart w:id="211" w:name="_Toc1191971941"/>
      <w:bookmarkStart w:id="212" w:name="_Toc2010257473"/>
      <w:bookmarkStart w:id="213" w:name="_Toc226304090"/>
      <w:r>
        <w:rPr>
          <w:rFonts w:hint="eastAsia" w:ascii="方正仿宋_GBK" w:hAnsi="方正仿宋_GBK" w:eastAsia="方正仿宋_GBK" w:cs="方正仿宋_GBK"/>
          <w:sz w:val="32"/>
          <w:szCs w:val="32"/>
          <w:lang w:eastAsia="zh-CN"/>
        </w:rPr>
        <w:t>附图</w:t>
      </w:r>
      <w:r>
        <w:rPr>
          <w:rFonts w:hint="eastAsia" w:ascii="方正仿宋_GBK" w:hAnsi="方正仿宋_GBK" w:eastAsia="方正仿宋_GBK" w:cs="方正仿宋_GBK"/>
          <w:sz w:val="32"/>
          <w:szCs w:val="32"/>
          <w:lang w:val="en-US" w:eastAsia="zh-CN"/>
        </w:rPr>
        <w:t xml:space="preserve">1  </w:t>
      </w:r>
      <w:r>
        <w:rPr>
          <w:rFonts w:hint="eastAsia" w:ascii="方正仿宋_GBK" w:hAnsi="方正仿宋_GBK" w:eastAsia="方正仿宋_GBK" w:cs="方正仿宋_GBK"/>
          <w:sz w:val="32"/>
          <w:szCs w:val="32"/>
          <w:lang w:eastAsia="zh-CN"/>
        </w:rPr>
        <w:t>重庆市永川区河流水系图</w:t>
      </w:r>
      <w:bookmarkEnd w:id="211"/>
      <w:bookmarkEnd w:id="212"/>
      <w:bookmarkEnd w:id="213"/>
    </w:p>
    <w:p>
      <w:pPr>
        <w:adjustRightInd w:val="0"/>
        <w:snapToGrid w:val="0"/>
        <w:spacing w:line="520" w:lineRule="exact"/>
        <w:ind w:firstLine="480" w:firstLineChars="200"/>
        <w:rPr>
          <w:rFonts w:ascii="宋体" w:hAnsi="宋体"/>
          <w:sz w:val="24"/>
          <w:szCs w:val="24"/>
        </w:rPr>
      </w:pPr>
      <w:r>
        <w:rPr>
          <w:rFonts w:ascii="宋体" w:hAnsi="宋体"/>
          <w:sz w:val="24"/>
          <w:szCs w:val="24"/>
        </w:rPr>
        <w:drawing>
          <wp:anchor distT="0" distB="0" distL="114300" distR="114300" simplePos="0" relativeHeight="251660288" behindDoc="0" locked="0" layoutInCell="1" allowOverlap="1">
            <wp:simplePos x="0" y="0"/>
            <wp:positionH relativeFrom="column">
              <wp:posOffset>73660</wp:posOffset>
            </wp:positionH>
            <wp:positionV relativeFrom="paragraph">
              <wp:posOffset>73660</wp:posOffset>
            </wp:positionV>
            <wp:extent cx="5525135" cy="7607935"/>
            <wp:effectExtent l="0" t="0" r="18415" b="12065"/>
            <wp:wrapNone/>
            <wp:docPr id="2" name="图片 4" descr="C:\Users\Admin001\Desktop\节约用水\佐证目录封面_页面_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4" descr="C:\Users\Admin001\Desktop\节约用水\佐证目录封面_页面_1.jpg"/>
                    <pic:cNvPicPr>
                      <a:picLocks noChangeAspect="true"/>
                    </pic:cNvPicPr>
                  </pic:nvPicPr>
                  <pic:blipFill>
                    <a:blip r:embed="rId15"/>
                    <a:stretch>
                      <a:fillRect/>
                    </a:stretch>
                  </pic:blipFill>
                  <pic:spPr>
                    <a:xfrm>
                      <a:off x="0" y="0"/>
                      <a:ext cx="5525135" cy="7607935"/>
                    </a:xfrm>
                    <a:prstGeom prst="rect">
                      <a:avLst/>
                    </a:prstGeom>
                    <a:noFill/>
                    <a:ln>
                      <a:noFill/>
                    </a:ln>
                  </pic:spPr>
                </pic:pic>
              </a:graphicData>
            </a:graphic>
          </wp:anchor>
        </w:drawing>
      </w: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val="0"/>
        <w:snapToGrid w:val="0"/>
        <w:spacing w:line="520" w:lineRule="exact"/>
        <w:ind w:firstLine="480" w:firstLineChars="200"/>
        <w:rPr>
          <w:rFonts w:ascii="宋体" w:hAnsi="宋体"/>
          <w:sz w:val="24"/>
          <w:szCs w:val="24"/>
        </w:rPr>
      </w:pPr>
    </w:p>
    <w:p>
      <w:pPr>
        <w:adjustRightInd/>
        <w:snapToGrid/>
        <w:spacing w:line="276" w:lineRule="auto"/>
        <w:ind w:firstLine="0" w:firstLineChars="0"/>
        <w:outlineLvl w:val="1"/>
        <w:rPr>
          <w:rFonts w:hint="eastAsia" w:ascii="方正仿宋_GBK" w:hAnsi="方正仿宋_GBK" w:eastAsia="方正仿宋_GBK" w:cs="方正仿宋_GBK"/>
          <w:sz w:val="32"/>
          <w:szCs w:val="32"/>
          <w:lang w:val="en-US" w:eastAsia="zh-CN"/>
        </w:rPr>
      </w:pPr>
      <w:bookmarkStart w:id="214" w:name="_Toc537048433"/>
      <w:bookmarkStart w:id="215" w:name="_Toc1323605930"/>
      <w:bookmarkStart w:id="216" w:name="_Toc1541530376"/>
      <w:r>
        <w:rPr>
          <w:rFonts w:hint="eastAsia" w:ascii="方正仿宋_GBK" w:hAnsi="方正仿宋_GBK" w:eastAsia="方正仿宋_GBK" w:cs="方正仿宋_GBK"/>
          <w:sz w:val="32"/>
          <w:szCs w:val="32"/>
        </w:rPr>
        <w:drawing>
          <wp:anchor distT="0" distB="0" distL="114300" distR="114300" simplePos="0" relativeHeight="251661312" behindDoc="0" locked="0" layoutInCell="1" allowOverlap="1">
            <wp:simplePos x="0" y="0"/>
            <wp:positionH relativeFrom="column">
              <wp:posOffset>-85725</wp:posOffset>
            </wp:positionH>
            <wp:positionV relativeFrom="paragraph">
              <wp:posOffset>447675</wp:posOffset>
            </wp:positionV>
            <wp:extent cx="5826760" cy="7653655"/>
            <wp:effectExtent l="0" t="0" r="2540" b="4445"/>
            <wp:wrapNone/>
            <wp:docPr id="3" name="图片 5" descr="C:\Users\Admin001\Desktop\节约用水\佐证目录封面_页面_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5" descr="C:\Users\Admin001\Desktop\节约用水\佐证目录封面_页面_2.jpg"/>
                    <pic:cNvPicPr>
                      <a:picLocks noChangeAspect="true"/>
                    </pic:cNvPicPr>
                  </pic:nvPicPr>
                  <pic:blipFill>
                    <a:blip r:embed="rId16"/>
                    <a:stretch>
                      <a:fillRect/>
                    </a:stretch>
                  </pic:blipFill>
                  <pic:spPr>
                    <a:xfrm>
                      <a:off x="0" y="0"/>
                      <a:ext cx="5826760" cy="7653655"/>
                    </a:xfrm>
                    <a:prstGeom prst="rect">
                      <a:avLst/>
                    </a:prstGeom>
                    <a:noFill/>
                    <a:ln>
                      <a:noFill/>
                    </a:ln>
                  </pic:spPr>
                </pic:pic>
              </a:graphicData>
            </a:graphic>
          </wp:anchor>
        </w:drawing>
      </w:r>
      <w:r>
        <w:rPr>
          <w:rFonts w:hint="eastAsia" w:ascii="方正仿宋_GBK" w:hAnsi="方正仿宋_GBK" w:eastAsia="方正仿宋_GBK" w:cs="方正仿宋_GBK"/>
          <w:sz w:val="32"/>
          <w:szCs w:val="32"/>
          <w:lang w:eastAsia="zh-CN"/>
        </w:rPr>
        <w:t>附图</w:t>
      </w:r>
      <w:r>
        <w:rPr>
          <w:rFonts w:hint="eastAsia" w:ascii="方正仿宋_GBK" w:hAnsi="方正仿宋_GBK" w:eastAsia="方正仿宋_GBK" w:cs="方正仿宋_GBK"/>
          <w:sz w:val="32"/>
          <w:szCs w:val="32"/>
          <w:lang w:val="en-US" w:eastAsia="zh-CN"/>
        </w:rPr>
        <w:t>2  农业节水分布图</w:t>
      </w:r>
      <w:bookmarkEnd w:id="214"/>
      <w:bookmarkEnd w:id="215"/>
      <w:bookmarkEnd w:id="216"/>
    </w:p>
    <w:p>
      <w:pPr>
        <w:adjustRightInd w:val="0"/>
        <w:snapToGrid w:val="0"/>
        <w:spacing w:line="520" w:lineRule="exact"/>
        <w:ind w:firstLine="0" w:firstLineChars="0"/>
        <w:rPr>
          <w:rFonts w:hint="eastAsia" w:ascii="方正仿宋_GBK" w:hAnsi="方正仿宋_GBK" w:eastAsia="方正仿宋_GBK" w:cs="方正仿宋_GBK"/>
          <w:sz w:val="32"/>
          <w:szCs w:val="32"/>
          <w:lang w:val="en-US" w:eastAsia="zh-CN"/>
        </w:rPr>
      </w:pPr>
    </w:p>
    <w:p>
      <w:pPr>
        <w:adjustRightInd w:val="0"/>
        <w:snapToGrid w:val="0"/>
        <w:spacing w:line="520" w:lineRule="exact"/>
        <w:ind w:firstLine="0" w:firstLineChars="0"/>
        <w:rPr>
          <w:rFonts w:hint="eastAsia" w:ascii="方正仿宋_GBK" w:hAnsi="方正仿宋_GBK" w:eastAsia="方正仿宋_GBK" w:cs="方正仿宋_GBK"/>
          <w:sz w:val="32"/>
          <w:szCs w:val="32"/>
          <w:lang w:val="en-US" w:eastAsia="zh-CN"/>
        </w:rPr>
      </w:pPr>
    </w:p>
    <w:p>
      <w:pPr>
        <w:adjustRightInd w:val="0"/>
        <w:snapToGrid w:val="0"/>
        <w:spacing w:line="520" w:lineRule="exact"/>
        <w:ind w:firstLine="0" w:firstLineChars="0"/>
        <w:rPr>
          <w:rFonts w:hint="eastAsia" w:ascii="方正仿宋_GBK" w:hAnsi="方正仿宋_GBK" w:eastAsia="方正仿宋_GBK" w:cs="方正仿宋_GBK"/>
          <w:sz w:val="32"/>
          <w:szCs w:val="32"/>
          <w:lang w:val="en-US" w:eastAsia="zh-CN"/>
        </w:rPr>
      </w:pPr>
    </w:p>
    <w:p>
      <w:pPr>
        <w:adjustRightInd w:val="0"/>
        <w:snapToGrid w:val="0"/>
        <w:spacing w:line="520" w:lineRule="exact"/>
        <w:ind w:firstLine="0" w:firstLineChars="0"/>
        <w:rPr>
          <w:rFonts w:hint="eastAsia" w:ascii="方正仿宋_GBK" w:hAnsi="方正仿宋_GBK" w:eastAsia="方正仿宋_GBK" w:cs="方正仿宋_GBK"/>
          <w:sz w:val="32"/>
          <w:szCs w:val="32"/>
          <w:lang w:val="en-US" w:eastAsia="zh-CN"/>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pageBreakBefore w:val="0"/>
        <w:kinsoku/>
        <w:wordWrap/>
        <w:overflowPunct/>
        <w:topLinePunct w:val="0"/>
        <w:autoSpaceDE/>
        <w:autoSpaceDN/>
        <w:bidi w:val="0"/>
        <w:spacing w:line="276" w:lineRule="auto"/>
        <w:ind w:firstLine="0" w:firstLineChars="0"/>
        <w:jc w:val="left"/>
        <w:textAlignment w:val="auto"/>
        <w:outlineLvl w:val="1"/>
        <w:rPr>
          <w:rFonts w:hint="eastAsia" w:ascii="方正仿宋_GBK" w:hAnsi="方正仿宋_GBK" w:eastAsia="方正仿宋_GBK" w:cs="方正仿宋_GBK"/>
          <w:sz w:val="32"/>
          <w:szCs w:val="32"/>
          <w:lang w:val="en-US" w:eastAsia="zh-CN"/>
        </w:rPr>
      </w:pPr>
      <w:bookmarkStart w:id="217" w:name="_Toc1524407471"/>
      <w:bookmarkStart w:id="218" w:name="_Toc24351"/>
      <w:bookmarkStart w:id="219" w:name="_Toc1927901527"/>
      <w:bookmarkStart w:id="220" w:name="_Toc469199096"/>
      <w:r>
        <w:rPr>
          <w:rFonts w:hint="eastAsia" w:ascii="方正仿宋_GBK" w:hAnsi="方正仿宋_GBK" w:eastAsia="方正仿宋_GBK" w:cs="方正仿宋_GBK"/>
          <w:sz w:val="32"/>
          <w:szCs w:val="32"/>
          <w:lang w:eastAsia="zh-CN"/>
        </w:rPr>
        <w:drawing>
          <wp:anchor distT="0" distB="0" distL="114300" distR="114300" simplePos="0" relativeHeight="251662336" behindDoc="0" locked="0" layoutInCell="1" allowOverlap="1">
            <wp:simplePos x="0" y="0"/>
            <wp:positionH relativeFrom="column">
              <wp:posOffset>-47625</wp:posOffset>
            </wp:positionH>
            <wp:positionV relativeFrom="paragraph">
              <wp:posOffset>380365</wp:posOffset>
            </wp:positionV>
            <wp:extent cx="5767705" cy="7474585"/>
            <wp:effectExtent l="0" t="0" r="4445" b="12065"/>
            <wp:wrapNone/>
            <wp:docPr id="4" name="图片 34" descr="C:\Users\Admin001\Desktop\节约用水\佐证目录封面_页面_3.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4" descr="C:\Users\Admin001\Desktop\节约用水\佐证目录封面_页面_3.jpg"/>
                    <pic:cNvPicPr>
                      <a:picLocks noChangeAspect="true"/>
                    </pic:cNvPicPr>
                  </pic:nvPicPr>
                  <pic:blipFill>
                    <a:blip r:embed="rId17"/>
                    <a:stretch>
                      <a:fillRect/>
                    </a:stretch>
                  </pic:blipFill>
                  <pic:spPr>
                    <a:xfrm>
                      <a:off x="0" y="0"/>
                      <a:ext cx="5767705" cy="7474585"/>
                    </a:xfrm>
                    <a:prstGeom prst="rect">
                      <a:avLst/>
                    </a:prstGeom>
                    <a:noFill/>
                    <a:ln>
                      <a:noFill/>
                    </a:ln>
                  </pic:spPr>
                </pic:pic>
              </a:graphicData>
            </a:graphic>
          </wp:anchor>
        </w:drawing>
      </w:r>
      <w:r>
        <w:rPr>
          <w:rFonts w:hint="eastAsia" w:ascii="方正仿宋_GBK" w:hAnsi="方正仿宋_GBK" w:eastAsia="方正仿宋_GBK" w:cs="方正仿宋_GBK"/>
          <w:sz w:val="32"/>
          <w:szCs w:val="32"/>
          <w:lang w:eastAsia="zh-CN"/>
        </w:rPr>
        <w:t>附图</w:t>
      </w:r>
      <w:r>
        <w:rPr>
          <w:rFonts w:hint="eastAsia" w:ascii="方正仿宋_GBK" w:hAnsi="方正仿宋_GBK" w:eastAsia="方正仿宋_GBK" w:cs="方正仿宋_GBK"/>
          <w:sz w:val="32"/>
          <w:szCs w:val="32"/>
          <w:lang w:val="en-US" w:eastAsia="zh-CN"/>
        </w:rPr>
        <w:t>3  管网改造工程及非常规水分布图</w:t>
      </w:r>
      <w:bookmarkEnd w:id="217"/>
      <w:bookmarkEnd w:id="218"/>
      <w:bookmarkEnd w:id="219"/>
      <w:bookmarkEnd w:id="220"/>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spacing w:line="520" w:lineRule="exact"/>
        <w:ind w:firstLine="0" w:firstLineChars="0"/>
        <w:rPr>
          <w:rFonts w:hint="eastAsia" w:ascii="方正仿宋_GBK" w:hAnsi="方正仿宋_GBK" w:eastAsia="方正仿宋_GBK" w:cs="方正仿宋_GBK"/>
          <w:sz w:val="32"/>
          <w:szCs w:val="32"/>
        </w:rPr>
      </w:pPr>
    </w:p>
    <w:p>
      <w:pPr>
        <w:adjustRightInd w:val="0"/>
        <w:snapToGrid w:val="0"/>
        <w:jc w:val="center"/>
        <w:rPr>
          <w:rFonts w:hint="eastAsia" w:ascii="宋体" w:hAnsi="宋体"/>
          <w:sz w:val="24"/>
          <w:szCs w:val="24"/>
        </w:rPr>
      </w:pPr>
    </w:p>
    <w:p>
      <w:pPr>
        <w:adjustRightInd w:val="0"/>
        <w:snapToGrid w:val="0"/>
        <w:jc w:val="center"/>
        <w:rPr>
          <w:rFonts w:hint="eastAsia"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jc w:val="center"/>
        <w:rPr>
          <w:rFonts w:ascii="宋体" w:hAnsi="宋体"/>
          <w:sz w:val="24"/>
          <w:szCs w:val="24"/>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adjustRightInd w:val="0"/>
        <w:snapToGrid w:val="0"/>
        <w:spacing w:line="276" w:lineRule="auto"/>
        <w:jc w:val="left"/>
        <w:rPr>
          <w:rFonts w:hint="eastAsia" w:ascii="方正仿宋_GBK" w:hAnsi="方正仿宋_GBK" w:eastAsia="方正仿宋_GBK" w:cs="方正仿宋_GBK"/>
          <w:sz w:val="32"/>
          <w:szCs w:val="32"/>
        </w:rPr>
      </w:pPr>
    </w:p>
    <w:p>
      <w:pPr>
        <w:pBdr>
          <w:top w:val="single" w:color="auto" w:sz="4" w:space="0"/>
          <w:bottom w:val="single" w:color="auto" w:sz="4" w:space="0"/>
          <w:between w:val="single" w:color="auto" w:sz="4" w:space="0"/>
        </w:pBdr>
        <w:snapToGrid w:val="0"/>
        <w:spacing w:line="240" w:lineRule="auto"/>
        <w:ind w:firstLine="280" w:firstLineChars="1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抄送：区委办，区人大办，区政协办。</w:t>
      </w:r>
    </w:p>
    <w:p>
      <w:pPr>
        <w:widowControl/>
        <w:pBdr>
          <w:top w:val="single" w:color="auto" w:sz="4" w:space="0"/>
          <w:bottom w:val="single" w:color="auto" w:sz="4" w:space="0"/>
          <w:between w:val="single" w:color="auto" w:sz="4" w:space="0"/>
        </w:pBdr>
        <w:adjustRightInd/>
        <w:snapToGrid w:val="0"/>
        <w:spacing w:line="240" w:lineRule="auto"/>
        <w:ind w:firstLine="280" w:firstLineChars="1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28"/>
          <w:szCs w:val="28"/>
        </w:rPr>
        <w:t xml:space="preserve">重庆市永川区人民政府办公室         </w:t>
      </w:r>
      <w:r>
        <w:rPr>
          <w:rFonts w:hint="eastAsia" w:ascii="方正仿宋_GBK" w:hAnsi="方正仿宋_GBK" w:eastAsia="方正仿宋_GBK" w:cs="方正仿宋_GBK"/>
          <w:sz w:val="28"/>
          <w:szCs w:val="28"/>
          <w:lang w:val="en"/>
        </w:rPr>
        <w:t xml:space="preserve"> </w:t>
      </w:r>
      <w:r>
        <w:rPr>
          <w:rFonts w:hint="eastAsia" w:ascii="方正仿宋_GBK" w:hAnsi="方正仿宋_GBK" w:eastAsia="方正仿宋_GBK" w:cs="方正仿宋_GBK"/>
          <w:sz w:val="28"/>
          <w:szCs w:val="28"/>
        </w:rPr>
        <w:t xml:space="preserve">     202</w:t>
      </w:r>
      <w:r>
        <w:rPr>
          <w:rFonts w:hint="eastAsia" w:ascii="方正仿宋_GBK" w:hAnsi="方正仿宋_GBK" w:eastAsia="方正仿宋_GBK" w:cs="方正仿宋_GBK"/>
          <w:sz w:val="28"/>
          <w:szCs w:val="28"/>
          <w:lang w:val="en"/>
        </w:rPr>
        <w:t>2</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lang w:val="en-US" w:eastAsia="zh-CN"/>
        </w:rPr>
        <w:t>4</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en-US" w:eastAsia="zh-CN"/>
        </w:rPr>
        <w:t>25</w:t>
      </w:r>
      <w:r>
        <w:rPr>
          <w:rFonts w:hint="eastAsia" w:ascii="方正仿宋_GBK" w:hAnsi="方正仿宋_GBK" w:eastAsia="方正仿宋_GBK" w:cs="方正仿宋_GBK"/>
          <w:sz w:val="28"/>
          <w:szCs w:val="28"/>
        </w:rPr>
        <w:t>日印发</w:t>
      </w:r>
    </w:p>
    <w:sectPr>
      <w:headerReference r:id="rId7" w:type="default"/>
      <w:footerReference r:id="rId8" w:type="default"/>
      <w:pgSz w:w="11905" w:h="16838"/>
      <w:pgMar w:top="2098" w:right="1474" w:bottom="1984" w:left="1587" w:header="851" w:footer="1474" w:gutter="0"/>
      <w:pgNumType w:fmt="numberInDash"/>
      <w:cols w:space="720" w:num="1"/>
      <w:rtlGutter w:val="0"/>
      <w:docGrid w:type="line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0000000" w:usb3="00000000" w:csb0="2000019F" w:csb1="00000000"/>
  </w:font>
  <w:font w:name="Calibri Light">
    <w:altName w:val="DejaVu Sans"/>
    <w:panose1 w:val="020F0302020204030204"/>
    <w:charset w:val="00"/>
    <w:family w:val="swiss"/>
    <w:pitch w:val="default"/>
    <w:sig w:usb0="00000000" w:usb1="00000000" w:usb2="00000000" w:usb3="00000000" w:csb0="2000019F"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微软雅黑">
    <w:altName w:val="黑体"/>
    <w:panose1 w:val="020B0503020204020204"/>
    <w:charset w:val="00"/>
    <w:family w:val="auto"/>
    <w:pitch w:val="default"/>
    <w:sig w:usb0="00000000" w:usb1="00000000" w:usb2="00000016" w:usb3="00000000" w:csb0="0004001F" w:csb1="00000000"/>
  </w:font>
  <w:font w:name="方正隶书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FreeSerif">
    <w:panose1 w:val="02020603050405020304"/>
    <w:charset w:val="00"/>
    <w:family w:val="auto"/>
    <w:pitch w:val="default"/>
    <w:sig w:usb0="E59FAFFF" w:usb1="C200FDFF" w:usb2="43501B29" w:usb3="04000043" w:csb0="600101FF" w:csb1="FF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1"/>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I</w:t>
                          </w:r>
                          <w:r>
                            <w:rPr>
                              <w:rFonts w:hint="eastAsia" w:ascii="宋体" w:hAnsi="宋体" w:eastAsia="宋体" w:cs="宋体"/>
                              <w:sz w:val="28"/>
                              <w:szCs w:val="28"/>
                            </w:rPr>
                            <w:fldChar w:fldCharType="end"/>
                          </w:r>
                        </w:p>
                      </w:txbxContent>
                    </wps:txbx>
                    <wps:bodyPr wrap="none" lIns="0" tIns="0" rIns="0" bIns="0" upright="false">
                      <a:spAutoFit/>
                    </wps:bodyPr>
                  </wps:wsp>
                </a:graphicData>
              </a:graphic>
            </wp:anchor>
          </w:drawing>
        </mc:Choice>
        <mc:Fallback>
          <w:pict>
            <v:shape id="文本框 18"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K7g8CK1AQAAVAMAAA4AAAAAAAAAAQAgAAAANAEAAGRycy9lMm9E&#10;b2MueG1sUEsFBgAAAAAGAAYAWQEAAFsFAAAAAA==&#10;">
              <v:fill on="f" focussize="0,0"/>
              <v:stroke on="f"/>
              <v:imagedata o:title=""/>
              <o:lock v:ext="edit" aspectratio="f"/>
              <v:textbox inset="0mm,0mm,0mm,0mm" style="mso-fit-shape-to-text:t;">
                <w:txbxContent>
                  <w:p>
                    <w:pPr>
                      <w:pStyle w:val="11"/>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I</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2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txbx>
                      <w:txbxContent>
                        <w:p>
                          <w:pPr>
                            <w:pStyle w:val="5"/>
                          </w:pPr>
                          <w:r>
                            <w:fldChar w:fldCharType="begin"/>
                          </w:r>
                          <w:r>
                            <w:instrText xml:space="preserve"> PAGE  \* MERGEFORMAT </w:instrText>
                          </w:r>
                          <w:r>
                            <w:fldChar w:fldCharType="separate"/>
                          </w:r>
                          <w:r>
                            <w:t>I</w:t>
                          </w:r>
                          <w:r>
                            <w:fldChar w:fldCharType="end"/>
                          </w:r>
                        </w:p>
                      </w:txbxContent>
                    </wps:txbx>
                    <wps:bodyPr wrap="none" lIns="0" tIns="0" rIns="0" bIns="0" upright="false">
                      <a:spAutoFit/>
                    </wps:bodyPr>
                  </wps:wsp>
                </a:graphicData>
              </a:graphic>
            </wp:anchor>
          </w:drawing>
        </mc:Choice>
        <mc:Fallback>
          <w:pict>
            <v:shape id="文本框 20"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s0lY7tAAAAAFAQAADwAAAAAAAAABACAAAAA4AAAAZHJz&#10;L2Rvd25yZXYueG1sUEsBAhQAFAAAAAgAh07iQI70OIS9AQAAXQMAAA4AAAAAAAAAAQAgAAAANQEA&#10;AGRycy9lMm9Eb2MueG1sUEsFBgAAAAAGAAYAWQEAAG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I</w:t>
                    </w:r>
                    <w:r>
                      <w:fldChar w:fldCharType="end"/>
                    </w:r>
                  </w:p>
                </w:txbxContent>
              </v:textbox>
            </v:shape>
          </w:pict>
        </mc:Fallback>
      </mc:AlternateContent>
    </w:r>
  </w:p>
  <w:p>
    <w:pPr>
      <w:pStyle w:val="8"/>
      <w:kinsoku w:val="0"/>
      <w:overflowPunct w:val="0"/>
      <w:spacing w:before="0" w:line="14" w:lineRule="auto"/>
      <w:ind w:left="0"/>
      <w:rPr>
        <w:rFonts w:ascii="Times New Roman" w:eastAsia="宋体" w:cs="Times New Roman"/>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txbx>
                      <w:txbxContent>
                        <w:p>
                          <w:pPr>
                            <w:pStyle w:val="5"/>
                            <w:keepNext w:val="0"/>
                            <w:keepLines w:val="0"/>
                            <w:snapToGrid w:val="0"/>
                            <w:spacing w:before="0" w:after="0"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I</w:t>
                          </w:r>
                          <w:r>
                            <w:rPr>
                              <w:rFonts w:hint="eastAsia" w:ascii="宋体" w:hAnsi="宋体" w:eastAsia="宋体" w:cs="宋体"/>
                            </w:rPr>
                            <w:fldChar w:fldCharType="end"/>
                          </w:r>
                        </w:p>
                      </w:txbxContent>
                    </wps:txbx>
                    <wps:bodyPr wrap="none" lIns="0" tIns="0" rIns="0" bIns="0" upright="false">
                      <a:spAutoFit/>
                    </wps:bodyPr>
                  </wps:wsp>
                </a:graphicData>
              </a:graphic>
            </wp:anchor>
          </w:drawing>
        </mc:Choice>
        <mc:Fallback>
          <w:pict>
            <v:shape id="文本框 4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&#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CzSVju0AAAAAUBAAAPAAAAAAAAAAEAIAAAADgAAABk&#10;cnMvZG93bnJldi54bWxQSwECFAAUAAAACACHTuJAmXDFH78BAABdAwAADgAAAAAAAAABACAAAAA1&#10;AQAAZHJzL2Uyb0RvYy54bWxQSwUGAAAAAAYABgBZAQAAZgUAAAAA&#10;">
              <v:fill on="f" focussize="0,0"/>
              <v:stroke on="f" weight="0.5pt"/>
              <v:imagedata o:title=""/>
              <o:lock v:ext="edit" aspectratio="f"/>
              <v:textbox inset="0mm,0mm,0mm,0mm" style="mso-fit-shape-to-text:t;">
                <w:txbxContent>
                  <w:p>
                    <w:pPr>
                      <w:pStyle w:val="5"/>
                      <w:keepNext w:val="0"/>
                      <w:keepLines w:val="0"/>
                      <w:snapToGrid w:val="0"/>
                      <w:spacing w:before="0" w:after="0"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I</w:t>
                    </w:r>
                    <w:r>
                      <w:rPr>
                        <w:rFonts w:hint="eastAsia" w:ascii="宋体" w:hAnsi="宋体" w:eastAsia="宋体" w:cs="宋体"/>
                      </w:rPr>
                      <w:fldChar w:fldCharType="end"/>
                    </w:r>
                  </w:p>
                </w:txbxContent>
              </v:textbox>
            </v:shape>
          </w:pict>
        </mc:Fallback>
      </mc:AlternateContent>
    </w:r>
  </w:p>
  <w:p>
    <w:pPr>
      <w:pStyle w:val="8"/>
      <w:kinsoku w:val="0"/>
      <w:overflowPunct w:val="0"/>
      <w:spacing w:before="0" w:line="14" w:lineRule="auto"/>
      <w:ind w:left="0"/>
      <w:rPr>
        <w:rFonts w:ascii="Times New Roman" w:eastAsia="宋体" w:cs="Times New Roman"/>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方正仿宋_GBK" w:eastAsia="方正仿宋_GBK"/>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方正仿宋_GBK" w:eastAsia="方正仿宋_GBK"/>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方正仿宋_GBK" w:eastAsia="方正仿宋_GBK"/>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dit="readOnly" w:enforcement="0"/>
  <w:defaultTabStop w:val="420"/>
  <w:hyphenationZone w:val="360"/>
  <w:drawingGridHorizontalSpacing w:val="105"/>
  <w:drawingGridVerticalSpacing w:val="164"/>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AB1"/>
    <w:rsid w:val="00000382"/>
    <w:rsid w:val="00003093"/>
    <w:rsid w:val="0000329F"/>
    <w:rsid w:val="00007FC6"/>
    <w:rsid w:val="000116DA"/>
    <w:rsid w:val="00013335"/>
    <w:rsid w:val="00014B91"/>
    <w:rsid w:val="00015E64"/>
    <w:rsid w:val="00017121"/>
    <w:rsid w:val="0002225C"/>
    <w:rsid w:val="0002331B"/>
    <w:rsid w:val="0002417D"/>
    <w:rsid w:val="00024B01"/>
    <w:rsid w:val="00026D2F"/>
    <w:rsid w:val="00026F0E"/>
    <w:rsid w:val="000274E9"/>
    <w:rsid w:val="00030168"/>
    <w:rsid w:val="00031173"/>
    <w:rsid w:val="00031C22"/>
    <w:rsid w:val="00032977"/>
    <w:rsid w:val="00032B25"/>
    <w:rsid w:val="00033BC7"/>
    <w:rsid w:val="00035E05"/>
    <w:rsid w:val="00037023"/>
    <w:rsid w:val="0003714E"/>
    <w:rsid w:val="0004032B"/>
    <w:rsid w:val="000415C6"/>
    <w:rsid w:val="00041B53"/>
    <w:rsid w:val="00041E75"/>
    <w:rsid w:val="0004373C"/>
    <w:rsid w:val="00043866"/>
    <w:rsid w:val="00043AB3"/>
    <w:rsid w:val="000460AE"/>
    <w:rsid w:val="000476FF"/>
    <w:rsid w:val="00047F32"/>
    <w:rsid w:val="00051EA7"/>
    <w:rsid w:val="00055092"/>
    <w:rsid w:val="00055746"/>
    <w:rsid w:val="00056F10"/>
    <w:rsid w:val="00057F7E"/>
    <w:rsid w:val="000604B2"/>
    <w:rsid w:val="0006085E"/>
    <w:rsid w:val="00060E1C"/>
    <w:rsid w:val="00063AD5"/>
    <w:rsid w:val="00063C93"/>
    <w:rsid w:val="00065EDA"/>
    <w:rsid w:val="000660AB"/>
    <w:rsid w:val="00066D40"/>
    <w:rsid w:val="00067F0D"/>
    <w:rsid w:val="00070408"/>
    <w:rsid w:val="000713E8"/>
    <w:rsid w:val="000714DF"/>
    <w:rsid w:val="00071E64"/>
    <w:rsid w:val="000729F4"/>
    <w:rsid w:val="000749FB"/>
    <w:rsid w:val="000761F2"/>
    <w:rsid w:val="000767F3"/>
    <w:rsid w:val="00082822"/>
    <w:rsid w:val="00084781"/>
    <w:rsid w:val="000858A8"/>
    <w:rsid w:val="000901C2"/>
    <w:rsid w:val="00091529"/>
    <w:rsid w:val="00093CDF"/>
    <w:rsid w:val="0009670D"/>
    <w:rsid w:val="00096AA2"/>
    <w:rsid w:val="00096AB3"/>
    <w:rsid w:val="000A08CC"/>
    <w:rsid w:val="000A4164"/>
    <w:rsid w:val="000A7420"/>
    <w:rsid w:val="000A79DD"/>
    <w:rsid w:val="000B1CE9"/>
    <w:rsid w:val="000B43B8"/>
    <w:rsid w:val="000B4781"/>
    <w:rsid w:val="000B5FDB"/>
    <w:rsid w:val="000B6C65"/>
    <w:rsid w:val="000B7B3D"/>
    <w:rsid w:val="000C0C59"/>
    <w:rsid w:val="000C2038"/>
    <w:rsid w:val="000C2609"/>
    <w:rsid w:val="000C3C38"/>
    <w:rsid w:val="000C622A"/>
    <w:rsid w:val="000C6AF8"/>
    <w:rsid w:val="000C6B0C"/>
    <w:rsid w:val="000C6B21"/>
    <w:rsid w:val="000C702E"/>
    <w:rsid w:val="000C7DF8"/>
    <w:rsid w:val="000D2B51"/>
    <w:rsid w:val="000D2C2B"/>
    <w:rsid w:val="000D3F02"/>
    <w:rsid w:val="000D5654"/>
    <w:rsid w:val="000D6290"/>
    <w:rsid w:val="000D6346"/>
    <w:rsid w:val="000D63AE"/>
    <w:rsid w:val="000D70C0"/>
    <w:rsid w:val="000E0E10"/>
    <w:rsid w:val="000E0E39"/>
    <w:rsid w:val="000E2E8F"/>
    <w:rsid w:val="000E3696"/>
    <w:rsid w:val="000E5323"/>
    <w:rsid w:val="000E534A"/>
    <w:rsid w:val="000F045B"/>
    <w:rsid w:val="000F2923"/>
    <w:rsid w:val="000F51C7"/>
    <w:rsid w:val="000F54A2"/>
    <w:rsid w:val="00106917"/>
    <w:rsid w:val="00113397"/>
    <w:rsid w:val="0011527B"/>
    <w:rsid w:val="0011669C"/>
    <w:rsid w:val="001169B1"/>
    <w:rsid w:val="00122F31"/>
    <w:rsid w:val="001230FC"/>
    <w:rsid w:val="00125E3B"/>
    <w:rsid w:val="0012609C"/>
    <w:rsid w:val="00126520"/>
    <w:rsid w:val="00130780"/>
    <w:rsid w:val="0013201D"/>
    <w:rsid w:val="00132A20"/>
    <w:rsid w:val="001377C5"/>
    <w:rsid w:val="0014002A"/>
    <w:rsid w:val="00140220"/>
    <w:rsid w:val="001411E4"/>
    <w:rsid w:val="001421D2"/>
    <w:rsid w:val="00142AA9"/>
    <w:rsid w:val="00145DF4"/>
    <w:rsid w:val="00145E1D"/>
    <w:rsid w:val="00145F70"/>
    <w:rsid w:val="001508A5"/>
    <w:rsid w:val="001509A5"/>
    <w:rsid w:val="001509AB"/>
    <w:rsid w:val="0015389A"/>
    <w:rsid w:val="00153A3D"/>
    <w:rsid w:val="00154659"/>
    <w:rsid w:val="0015694C"/>
    <w:rsid w:val="00160E8A"/>
    <w:rsid w:val="00160F7A"/>
    <w:rsid w:val="00162C80"/>
    <w:rsid w:val="00162EA5"/>
    <w:rsid w:val="001644EB"/>
    <w:rsid w:val="00166911"/>
    <w:rsid w:val="00166EAB"/>
    <w:rsid w:val="00170182"/>
    <w:rsid w:val="00171147"/>
    <w:rsid w:val="00171FC6"/>
    <w:rsid w:val="00175C23"/>
    <w:rsid w:val="0017677B"/>
    <w:rsid w:val="00177C98"/>
    <w:rsid w:val="00180B55"/>
    <w:rsid w:val="00181320"/>
    <w:rsid w:val="00182365"/>
    <w:rsid w:val="00182662"/>
    <w:rsid w:val="00190910"/>
    <w:rsid w:val="00190B5C"/>
    <w:rsid w:val="00192BD7"/>
    <w:rsid w:val="0019633C"/>
    <w:rsid w:val="00197446"/>
    <w:rsid w:val="00197A07"/>
    <w:rsid w:val="001A0CE8"/>
    <w:rsid w:val="001A1DD4"/>
    <w:rsid w:val="001A280B"/>
    <w:rsid w:val="001A35F7"/>
    <w:rsid w:val="001A368C"/>
    <w:rsid w:val="001A3C53"/>
    <w:rsid w:val="001A3EB5"/>
    <w:rsid w:val="001A3EDE"/>
    <w:rsid w:val="001A502C"/>
    <w:rsid w:val="001A7BC4"/>
    <w:rsid w:val="001B1681"/>
    <w:rsid w:val="001B232E"/>
    <w:rsid w:val="001B236F"/>
    <w:rsid w:val="001B5281"/>
    <w:rsid w:val="001B5FA3"/>
    <w:rsid w:val="001B67A4"/>
    <w:rsid w:val="001B6981"/>
    <w:rsid w:val="001B796D"/>
    <w:rsid w:val="001C0AE4"/>
    <w:rsid w:val="001C185B"/>
    <w:rsid w:val="001C436D"/>
    <w:rsid w:val="001C43B5"/>
    <w:rsid w:val="001C586A"/>
    <w:rsid w:val="001C69ED"/>
    <w:rsid w:val="001C6D8F"/>
    <w:rsid w:val="001C7F40"/>
    <w:rsid w:val="001D01DF"/>
    <w:rsid w:val="001D1323"/>
    <w:rsid w:val="001D1889"/>
    <w:rsid w:val="001D2F9F"/>
    <w:rsid w:val="001D328C"/>
    <w:rsid w:val="001D6275"/>
    <w:rsid w:val="001D735E"/>
    <w:rsid w:val="001D75CD"/>
    <w:rsid w:val="001D7777"/>
    <w:rsid w:val="001E134F"/>
    <w:rsid w:val="001E14DC"/>
    <w:rsid w:val="001E1567"/>
    <w:rsid w:val="001E3E01"/>
    <w:rsid w:val="001E5DD4"/>
    <w:rsid w:val="001E6849"/>
    <w:rsid w:val="001E7EA3"/>
    <w:rsid w:val="001F345D"/>
    <w:rsid w:val="001F5290"/>
    <w:rsid w:val="001F5A35"/>
    <w:rsid w:val="001F6064"/>
    <w:rsid w:val="001F6855"/>
    <w:rsid w:val="001F6DA4"/>
    <w:rsid w:val="001F76DB"/>
    <w:rsid w:val="00200EFD"/>
    <w:rsid w:val="002010BC"/>
    <w:rsid w:val="0020136C"/>
    <w:rsid w:val="002045EA"/>
    <w:rsid w:val="00204C4A"/>
    <w:rsid w:val="002052BE"/>
    <w:rsid w:val="00206690"/>
    <w:rsid w:val="0021037F"/>
    <w:rsid w:val="002103C1"/>
    <w:rsid w:val="002137BE"/>
    <w:rsid w:val="0021392F"/>
    <w:rsid w:val="002140CF"/>
    <w:rsid w:val="002140D8"/>
    <w:rsid w:val="00214A94"/>
    <w:rsid w:val="00215824"/>
    <w:rsid w:val="002166FA"/>
    <w:rsid w:val="00216C56"/>
    <w:rsid w:val="0021707D"/>
    <w:rsid w:val="00220483"/>
    <w:rsid w:val="0022084D"/>
    <w:rsid w:val="00220DF3"/>
    <w:rsid w:val="002220F6"/>
    <w:rsid w:val="00222EB0"/>
    <w:rsid w:val="0022355D"/>
    <w:rsid w:val="00224040"/>
    <w:rsid w:val="00224147"/>
    <w:rsid w:val="0022439F"/>
    <w:rsid w:val="00226F12"/>
    <w:rsid w:val="0023028B"/>
    <w:rsid w:val="002316B7"/>
    <w:rsid w:val="00235010"/>
    <w:rsid w:val="00236D56"/>
    <w:rsid w:val="00237E75"/>
    <w:rsid w:val="002428FF"/>
    <w:rsid w:val="00242AFD"/>
    <w:rsid w:val="00245352"/>
    <w:rsid w:val="00245F32"/>
    <w:rsid w:val="00247742"/>
    <w:rsid w:val="00250124"/>
    <w:rsid w:val="00251358"/>
    <w:rsid w:val="0025267F"/>
    <w:rsid w:val="0025354C"/>
    <w:rsid w:val="00256678"/>
    <w:rsid w:val="00257070"/>
    <w:rsid w:val="0026223F"/>
    <w:rsid w:val="0026233C"/>
    <w:rsid w:val="0026342D"/>
    <w:rsid w:val="00264224"/>
    <w:rsid w:val="00265878"/>
    <w:rsid w:val="002669DB"/>
    <w:rsid w:val="002678DD"/>
    <w:rsid w:val="00267B54"/>
    <w:rsid w:val="00270AF8"/>
    <w:rsid w:val="00271879"/>
    <w:rsid w:val="00275090"/>
    <w:rsid w:val="002802D2"/>
    <w:rsid w:val="00281BDD"/>
    <w:rsid w:val="00282903"/>
    <w:rsid w:val="0028300F"/>
    <w:rsid w:val="0028529E"/>
    <w:rsid w:val="00290500"/>
    <w:rsid w:val="0029229C"/>
    <w:rsid w:val="00292AD6"/>
    <w:rsid w:val="00294488"/>
    <w:rsid w:val="00294F1E"/>
    <w:rsid w:val="00295286"/>
    <w:rsid w:val="00295FDC"/>
    <w:rsid w:val="0029604E"/>
    <w:rsid w:val="002963BC"/>
    <w:rsid w:val="00296593"/>
    <w:rsid w:val="002A04DB"/>
    <w:rsid w:val="002A05F8"/>
    <w:rsid w:val="002A0EE7"/>
    <w:rsid w:val="002A1DED"/>
    <w:rsid w:val="002A1ED7"/>
    <w:rsid w:val="002A452E"/>
    <w:rsid w:val="002A69F6"/>
    <w:rsid w:val="002A7176"/>
    <w:rsid w:val="002B112B"/>
    <w:rsid w:val="002B13F7"/>
    <w:rsid w:val="002B190E"/>
    <w:rsid w:val="002B2343"/>
    <w:rsid w:val="002B2777"/>
    <w:rsid w:val="002B71AE"/>
    <w:rsid w:val="002B7A47"/>
    <w:rsid w:val="002C1113"/>
    <w:rsid w:val="002C293B"/>
    <w:rsid w:val="002C5979"/>
    <w:rsid w:val="002C667B"/>
    <w:rsid w:val="002C79F6"/>
    <w:rsid w:val="002D00D5"/>
    <w:rsid w:val="002D1241"/>
    <w:rsid w:val="002D3AF1"/>
    <w:rsid w:val="002E1618"/>
    <w:rsid w:val="002E3E9F"/>
    <w:rsid w:val="002E5373"/>
    <w:rsid w:val="002E5E4E"/>
    <w:rsid w:val="002E792F"/>
    <w:rsid w:val="002F07E9"/>
    <w:rsid w:val="002F0EDC"/>
    <w:rsid w:val="002F1C37"/>
    <w:rsid w:val="002F5EAC"/>
    <w:rsid w:val="002F7604"/>
    <w:rsid w:val="002F7853"/>
    <w:rsid w:val="002F78BD"/>
    <w:rsid w:val="002F7CF4"/>
    <w:rsid w:val="003001CF"/>
    <w:rsid w:val="003018F7"/>
    <w:rsid w:val="00302648"/>
    <w:rsid w:val="00304155"/>
    <w:rsid w:val="00306347"/>
    <w:rsid w:val="003102BA"/>
    <w:rsid w:val="00312B2A"/>
    <w:rsid w:val="00313459"/>
    <w:rsid w:val="00314E9E"/>
    <w:rsid w:val="00315C61"/>
    <w:rsid w:val="00315E67"/>
    <w:rsid w:val="00316D18"/>
    <w:rsid w:val="00317A16"/>
    <w:rsid w:val="00317E94"/>
    <w:rsid w:val="00323594"/>
    <w:rsid w:val="003247B9"/>
    <w:rsid w:val="00325703"/>
    <w:rsid w:val="00327FAD"/>
    <w:rsid w:val="00330574"/>
    <w:rsid w:val="003319E3"/>
    <w:rsid w:val="00331F3D"/>
    <w:rsid w:val="00332A67"/>
    <w:rsid w:val="00333F1D"/>
    <w:rsid w:val="00336B22"/>
    <w:rsid w:val="00336D04"/>
    <w:rsid w:val="00336FE1"/>
    <w:rsid w:val="00340685"/>
    <w:rsid w:val="003422A9"/>
    <w:rsid w:val="00342B1E"/>
    <w:rsid w:val="00344BEE"/>
    <w:rsid w:val="00346317"/>
    <w:rsid w:val="00350DEA"/>
    <w:rsid w:val="003530C5"/>
    <w:rsid w:val="00355240"/>
    <w:rsid w:val="003570D8"/>
    <w:rsid w:val="00357D61"/>
    <w:rsid w:val="0036009E"/>
    <w:rsid w:val="00360684"/>
    <w:rsid w:val="00360E8E"/>
    <w:rsid w:val="003611A8"/>
    <w:rsid w:val="0036123E"/>
    <w:rsid w:val="00363066"/>
    <w:rsid w:val="003643D4"/>
    <w:rsid w:val="00371A4A"/>
    <w:rsid w:val="00371B13"/>
    <w:rsid w:val="00372810"/>
    <w:rsid w:val="003770C7"/>
    <w:rsid w:val="0037719B"/>
    <w:rsid w:val="003804F7"/>
    <w:rsid w:val="00380BB0"/>
    <w:rsid w:val="00380D5A"/>
    <w:rsid w:val="00380EB5"/>
    <w:rsid w:val="0038208F"/>
    <w:rsid w:val="00384420"/>
    <w:rsid w:val="0038564B"/>
    <w:rsid w:val="003903E3"/>
    <w:rsid w:val="003913F0"/>
    <w:rsid w:val="00391D7A"/>
    <w:rsid w:val="00392691"/>
    <w:rsid w:val="00392F1C"/>
    <w:rsid w:val="003958FD"/>
    <w:rsid w:val="00395F25"/>
    <w:rsid w:val="003975A3"/>
    <w:rsid w:val="003A09FD"/>
    <w:rsid w:val="003A189F"/>
    <w:rsid w:val="003A29DE"/>
    <w:rsid w:val="003A3CA9"/>
    <w:rsid w:val="003A4168"/>
    <w:rsid w:val="003A5412"/>
    <w:rsid w:val="003A54DB"/>
    <w:rsid w:val="003A6062"/>
    <w:rsid w:val="003A785D"/>
    <w:rsid w:val="003A7B14"/>
    <w:rsid w:val="003B3200"/>
    <w:rsid w:val="003B32E3"/>
    <w:rsid w:val="003B3D8A"/>
    <w:rsid w:val="003B42C6"/>
    <w:rsid w:val="003B4FE4"/>
    <w:rsid w:val="003B70D7"/>
    <w:rsid w:val="003C0386"/>
    <w:rsid w:val="003C0792"/>
    <w:rsid w:val="003C0A11"/>
    <w:rsid w:val="003C0DA0"/>
    <w:rsid w:val="003C5813"/>
    <w:rsid w:val="003C5DAC"/>
    <w:rsid w:val="003C730F"/>
    <w:rsid w:val="003D010F"/>
    <w:rsid w:val="003D3543"/>
    <w:rsid w:val="003D3ABF"/>
    <w:rsid w:val="003D5597"/>
    <w:rsid w:val="003D5CA0"/>
    <w:rsid w:val="003D61DD"/>
    <w:rsid w:val="003D7775"/>
    <w:rsid w:val="003E0FD8"/>
    <w:rsid w:val="003E4469"/>
    <w:rsid w:val="003F0225"/>
    <w:rsid w:val="003F4E5F"/>
    <w:rsid w:val="003F5E8A"/>
    <w:rsid w:val="004002C1"/>
    <w:rsid w:val="00401638"/>
    <w:rsid w:val="00401FD1"/>
    <w:rsid w:val="00406782"/>
    <w:rsid w:val="00407B6E"/>
    <w:rsid w:val="00410789"/>
    <w:rsid w:val="00411D13"/>
    <w:rsid w:val="00412BB8"/>
    <w:rsid w:val="004148F8"/>
    <w:rsid w:val="0041595F"/>
    <w:rsid w:val="00415A2B"/>
    <w:rsid w:val="00415B16"/>
    <w:rsid w:val="00416796"/>
    <w:rsid w:val="00416C1B"/>
    <w:rsid w:val="00416E30"/>
    <w:rsid w:val="00416E51"/>
    <w:rsid w:val="00422B22"/>
    <w:rsid w:val="00422ED4"/>
    <w:rsid w:val="0042331F"/>
    <w:rsid w:val="0042580B"/>
    <w:rsid w:val="00425B61"/>
    <w:rsid w:val="00426909"/>
    <w:rsid w:val="004271EF"/>
    <w:rsid w:val="00430559"/>
    <w:rsid w:val="00432138"/>
    <w:rsid w:val="00432546"/>
    <w:rsid w:val="00432DDA"/>
    <w:rsid w:val="00432F4D"/>
    <w:rsid w:val="0043360C"/>
    <w:rsid w:val="00433CAD"/>
    <w:rsid w:val="00436211"/>
    <w:rsid w:val="0044037B"/>
    <w:rsid w:val="004422E1"/>
    <w:rsid w:val="00442BEA"/>
    <w:rsid w:val="00443407"/>
    <w:rsid w:val="004465BE"/>
    <w:rsid w:val="00446F3A"/>
    <w:rsid w:val="00451491"/>
    <w:rsid w:val="00452A7D"/>
    <w:rsid w:val="00452C5B"/>
    <w:rsid w:val="004563B2"/>
    <w:rsid w:val="00456F24"/>
    <w:rsid w:val="00456FE6"/>
    <w:rsid w:val="004647E8"/>
    <w:rsid w:val="004648C0"/>
    <w:rsid w:val="004648E5"/>
    <w:rsid w:val="00466CDC"/>
    <w:rsid w:val="004670BA"/>
    <w:rsid w:val="0047035B"/>
    <w:rsid w:val="004707C9"/>
    <w:rsid w:val="00471E83"/>
    <w:rsid w:val="00472AA6"/>
    <w:rsid w:val="004730AE"/>
    <w:rsid w:val="004735E9"/>
    <w:rsid w:val="0047365E"/>
    <w:rsid w:val="00473DA3"/>
    <w:rsid w:val="004756FE"/>
    <w:rsid w:val="004757F9"/>
    <w:rsid w:val="00475856"/>
    <w:rsid w:val="0047618E"/>
    <w:rsid w:val="00476FEC"/>
    <w:rsid w:val="00480ADB"/>
    <w:rsid w:val="004813F7"/>
    <w:rsid w:val="00482441"/>
    <w:rsid w:val="00484A69"/>
    <w:rsid w:val="0048562D"/>
    <w:rsid w:val="00486664"/>
    <w:rsid w:val="00486B4A"/>
    <w:rsid w:val="00490890"/>
    <w:rsid w:val="00490B38"/>
    <w:rsid w:val="004918FD"/>
    <w:rsid w:val="00493354"/>
    <w:rsid w:val="00497655"/>
    <w:rsid w:val="004A056A"/>
    <w:rsid w:val="004A1974"/>
    <w:rsid w:val="004A1B93"/>
    <w:rsid w:val="004A22B3"/>
    <w:rsid w:val="004A276A"/>
    <w:rsid w:val="004A27F8"/>
    <w:rsid w:val="004A39AC"/>
    <w:rsid w:val="004A4E91"/>
    <w:rsid w:val="004A5289"/>
    <w:rsid w:val="004A55B2"/>
    <w:rsid w:val="004A55BD"/>
    <w:rsid w:val="004A5A3E"/>
    <w:rsid w:val="004B00B2"/>
    <w:rsid w:val="004B034D"/>
    <w:rsid w:val="004B05C2"/>
    <w:rsid w:val="004B1AA9"/>
    <w:rsid w:val="004B1AE8"/>
    <w:rsid w:val="004B22A6"/>
    <w:rsid w:val="004B2A16"/>
    <w:rsid w:val="004B353B"/>
    <w:rsid w:val="004B4D84"/>
    <w:rsid w:val="004B77ED"/>
    <w:rsid w:val="004C1BB7"/>
    <w:rsid w:val="004C2358"/>
    <w:rsid w:val="004C602E"/>
    <w:rsid w:val="004C6C3F"/>
    <w:rsid w:val="004C7FC3"/>
    <w:rsid w:val="004D0001"/>
    <w:rsid w:val="004D05A4"/>
    <w:rsid w:val="004D281C"/>
    <w:rsid w:val="004D2B5A"/>
    <w:rsid w:val="004D2FAE"/>
    <w:rsid w:val="004D37D9"/>
    <w:rsid w:val="004D392E"/>
    <w:rsid w:val="004D53E2"/>
    <w:rsid w:val="004E045E"/>
    <w:rsid w:val="004E2003"/>
    <w:rsid w:val="004E34B5"/>
    <w:rsid w:val="004E4451"/>
    <w:rsid w:val="004E4AB6"/>
    <w:rsid w:val="004E5B19"/>
    <w:rsid w:val="004E6476"/>
    <w:rsid w:val="004F20CD"/>
    <w:rsid w:val="004F2EF7"/>
    <w:rsid w:val="004F4E03"/>
    <w:rsid w:val="004F4E3A"/>
    <w:rsid w:val="004F4E6A"/>
    <w:rsid w:val="004F632C"/>
    <w:rsid w:val="00501FED"/>
    <w:rsid w:val="0050495F"/>
    <w:rsid w:val="00504D06"/>
    <w:rsid w:val="00505CF1"/>
    <w:rsid w:val="00506344"/>
    <w:rsid w:val="005063E2"/>
    <w:rsid w:val="005075C4"/>
    <w:rsid w:val="00507CFA"/>
    <w:rsid w:val="00511CF8"/>
    <w:rsid w:val="00517738"/>
    <w:rsid w:val="00517C76"/>
    <w:rsid w:val="00521D36"/>
    <w:rsid w:val="00523D39"/>
    <w:rsid w:val="00525073"/>
    <w:rsid w:val="0052522F"/>
    <w:rsid w:val="00526832"/>
    <w:rsid w:val="00526DD8"/>
    <w:rsid w:val="00527BE2"/>
    <w:rsid w:val="00527C67"/>
    <w:rsid w:val="0053488A"/>
    <w:rsid w:val="00534AB0"/>
    <w:rsid w:val="005355AE"/>
    <w:rsid w:val="00541744"/>
    <w:rsid w:val="00544048"/>
    <w:rsid w:val="0054409A"/>
    <w:rsid w:val="00547913"/>
    <w:rsid w:val="00552ABE"/>
    <w:rsid w:val="00553517"/>
    <w:rsid w:val="005537DE"/>
    <w:rsid w:val="005550A0"/>
    <w:rsid w:val="0055528E"/>
    <w:rsid w:val="00555808"/>
    <w:rsid w:val="00555C9A"/>
    <w:rsid w:val="0056303B"/>
    <w:rsid w:val="005633B2"/>
    <w:rsid w:val="005645AA"/>
    <w:rsid w:val="00564F93"/>
    <w:rsid w:val="00566C60"/>
    <w:rsid w:val="00567AB2"/>
    <w:rsid w:val="00567E6D"/>
    <w:rsid w:val="00572219"/>
    <w:rsid w:val="0057299E"/>
    <w:rsid w:val="005735B2"/>
    <w:rsid w:val="00573B9C"/>
    <w:rsid w:val="00575FE2"/>
    <w:rsid w:val="005768CC"/>
    <w:rsid w:val="00576B02"/>
    <w:rsid w:val="00576BF2"/>
    <w:rsid w:val="0058062E"/>
    <w:rsid w:val="005813FC"/>
    <w:rsid w:val="00582E9D"/>
    <w:rsid w:val="00583EA5"/>
    <w:rsid w:val="00584AFF"/>
    <w:rsid w:val="00586EDE"/>
    <w:rsid w:val="00586EE6"/>
    <w:rsid w:val="00587BF5"/>
    <w:rsid w:val="00590FF3"/>
    <w:rsid w:val="00591049"/>
    <w:rsid w:val="005920A0"/>
    <w:rsid w:val="0059296C"/>
    <w:rsid w:val="005935FE"/>
    <w:rsid w:val="00593B26"/>
    <w:rsid w:val="00594082"/>
    <w:rsid w:val="00594305"/>
    <w:rsid w:val="00594FC3"/>
    <w:rsid w:val="00595909"/>
    <w:rsid w:val="00595EB6"/>
    <w:rsid w:val="005A1AB2"/>
    <w:rsid w:val="005A36D7"/>
    <w:rsid w:val="005A64F6"/>
    <w:rsid w:val="005B030E"/>
    <w:rsid w:val="005B0E4B"/>
    <w:rsid w:val="005B2CD4"/>
    <w:rsid w:val="005B3681"/>
    <w:rsid w:val="005C176B"/>
    <w:rsid w:val="005C31F3"/>
    <w:rsid w:val="005C361D"/>
    <w:rsid w:val="005C3DA5"/>
    <w:rsid w:val="005C5515"/>
    <w:rsid w:val="005C6E86"/>
    <w:rsid w:val="005C771F"/>
    <w:rsid w:val="005D0407"/>
    <w:rsid w:val="005D06DD"/>
    <w:rsid w:val="005D765C"/>
    <w:rsid w:val="005D78D1"/>
    <w:rsid w:val="005E2129"/>
    <w:rsid w:val="005E4D94"/>
    <w:rsid w:val="005F01D9"/>
    <w:rsid w:val="005F2796"/>
    <w:rsid w:val="005F28DD"/>
    <w:rsid w:val="005F4EF1"/>
    <w:rsid w:val="005F6171"/>
    <w:rsid w:val="005F7336"/>
    <w:rsid w:val="005F77B5"/>
    <w:rsid w:val="005F7C32"/>
    <w:rsid w:val="00601AEE"/>
    <w:rsid w:val="00606B42"/>
    <w:rsid w:val="00607B3F"/>
    <w:rsid w:val="00610419"/>
    <w:rsid w:val="00611EEE"/>
    <w:rsid w:val="00612373"/>
    <w:rsid w:val="00615CA2"/>
    <w:rsid w:val="006162DD"/>
    <w:rsid w:val="00616B00"/>
    <w:rsid w:val="00617191"/>
    <w:rsid w:val="00617CF7"/>
    <w:rsid w:val="00621730"/>
    <w:rsid w:val="0062280C"/>
    <w:rsid w:val="006230A9"/>
    <w:rsid w:val="006231AB"/>
    <w:rsid w:val="0062542F"/>
    <w:rsid w:val="006265EB"/>
    <w:rsid w:val="00626D43"/>
    <w:rsid w:val="0062703C"/>
    <w:rsid w:val="006275AA"/>
    <w:rsid w:val="00631FFA"/>
    <w:rsid w:val="006400EF"/>
    <w:rsid w:val="00640E01"/>
    <w:rsid w:val="00640FC0"/>
    <w:rsid w:val="00641C93"/>
    <w:rsid w:val="00642FD9"/>
    <w:rsid w:val="00643053"/>
    <w:rsid w:val="0064579C"/>
    <w:rsid w:val="0064596F"/>
    <w:rsid w:val="006461FA"/>
    <w:rsid w:val="00646FA8"/>
    <w:rsid w:val="00647779"/>
    <w:rsid w:val="006507D1"/>
    <w:rsid w:val="0065158F"/>
    <w:rsid w:val="00652324"/>
    <w:rsid w:val="006526DA"/>
    <w:rsid w:val="00655BFB"/>
    <w:rsid w:val="006568D4"/>
    <w:rsid w:val="006572B0"/>
    <w:rsid w:val="0066022F"/>
    <w:rsid w:val="00660332"/>
    <w:rsid w:val="0066095C"/>
    <w:rsid w:val="00662C3F"/>
    <w:rsid w:val="00663278"/>
    <w:rsid w:val="006637B3"/>
    <w:rsid w:val="00665338"/>
    <w:rsid w:val="0066777D"/>
    <w:rsid w:val="006718B7"/>
    <w:rsid w:val="006734B4"/>
    <w:rsid w:val="00674AF6"/>
    <w:rsid w:val="00674C3A"/>
    <w:rsid w:val="00674F34"/>
    <w:rsid w:val="00677696"/>
    <w:rsid w:val="00680191"/>
    <w:rsid w:val="006812CB"/>
    <w:rsid w:val="00682226"/>
    <w:rsid w:val="0068243F"/>
    <w:rsid w:val="00683589"/>
    <w:rsid w:val="00685C1D"/>
    <w:rsid w:val="00687CBB"/>
    <w:rsid w:val="006912AB"/>
    <w:rsid w:val="006A0687"/>
    <w:rsid w:val="006A2A41"/>
    <w:rsid w:val="006A37F9"/>
    <w:rsid w:val="006A5983"/>
    <w:rsid w:val="006A6056"/>
    <w:rsid w:val="006A72DD"/>
    <w:rsid w:val="006A7719"/>
    <w:rsid w:val="006B0914"/>
    <w:rsid w:val="006B0CB0"/>
    <w:rsid w:val="006B2401"/>
    <w:rsid w:val="006B2BBC"/>
    <w:rsid w:val="006B402B"/>
    <w:rsid w:val="006B42D1"/>
    <w:rsid w:val="006B4A06"/>
    <w:rsid w:val="006B52BB"/>
    <w:rsid w:val="006B5807"/>
    <w:rsid w:val="006B678E"/>
    <w:rsid w:val="006C10DA"/>
    <w:rsid w:val="006C2F21"/>
    <w:rsid w:val="006C36C2"/>
    <w:rsid w:val="006C6213"/>
    <w:rsid w:val="006C6C44"/>
    <w:rsid w:val="006C7961"/>
    <w:rsid w:val="006D1279"/>
    <w:rsid w:val="006D210F"/>
    <w:rsid w:val="006D2A94"/>
    <w:rsid w:val="006D3E0D"/>
    <w:rsid w:val="006D3FE7"/>
    <w:rsid w:val="006D4CBB"/>
    <w:rsid w:val="006D6265"/>
    <w:rsid w:val="006D7E39"/>
    <w:rsid w:val="006E35BD"/>
    <w:rsid w:val="006E3745"/>
    <w:rsid w:val="006E644B"/>
    <w:rsid w:val="006E65FF"/>
    <w:rsid w:val="006E75A6"/>
    <w:rsid w:val="006E794F"/>
    <w:rsid w:val="006F0ECC"/>
    <w:rsid w:val="006F1165"/>
    <w:rsid w:val="006F2093"/>
    <w:rsid w:val="006F292D"/>
    <w:rsid w:val="006F3067"/>
    <w:rsid w:val="006F42C2"/>
    <w:rsid w:val="006F5B19"/>
    <w:rsid w:val="00700DB7"/>
    <w:rsid w:val="00701690"/>
    <w:rsid w:val="0070368B"/>
    <w:rsid w:val="007069BB"/>
    <w:rsid w:val="00711FF0"/>
    <w:rsid w:val="00712141"/>
    <w:rsid w:val="007123DE"/>
    <w:rsid w:val="007144F4"/>
    <w:rsid w:val="007164B9"/>
    <w:rsid w:val="007164FB"/>
    <w:rsid w:val="00721D23"/>
    <w:rsid w:val="00721FD5"/>
    <w:rsid w:val="0072376D"/>
    <w:rsid w:val="0072466F"/>
    <w:rsid w:val="0072529B"/>
    <w:rsid w:val="00725E29"/>
    <w:rsid w:val="007260CA"/>
    <w:rsid w:val="007303B8"/>
    <w:rsid w:val="00733008"/>
    <w:rsid w:val="007332DE"/>
    <w:rsid w:val="00737AE4"/>
    <w:rsid w:val="00740AAD"/>
    <w:rsid w:val="00742385"/>
    <w:rsid w:val="00743812"/>
    <w:rsid w:val="00745ADA"/>
    <w:rsid w:val="00746629"/>
    <w:rsid w:val="00747577"/>
    <w:rsid w:val="007517B2"/>
    <w:rsid w:val="0075193E"/>
    <w:rsid w:val="00752483"/>
    <w:rsid w:val="007527F6"/>
    <w:rsid w:val="007534DB"/>
    <w:rsid w:val="00753CF7"/>
    <w:rsid w:val="00754ECE"/>
    <w:rsid w:val="00757405"/>
    <w:rsid w:val="00760E60"/>
    <w:rsid w:val="0076159F"/>
    <w:rsid w:val="00764F3C"/>
    <w:rsid w:val="00766BBE"/>
    <w:rsid w:val="00770632"/>
    <w:rsid w:val="00770B22"/>
    <w:rsid w:val="0077352A"/>
    <w:rsid w:val="00773980"/>
    <w:rsid w:val="007741CD"/>
    <w:rsid w:val="00774A71"/>
    <w:rsid w:val="00774FF8"/>
    <w:rsid w:val="00775F80"/>
    <w:rsid w:val="00775F81"/>
    <w:rsid w:val="00782A04"/>
    <w:rsid w:val="00783418"/>
    <w:rsid w:val="007835AD"/>
    <w:rsid w:val="00787B1F"/>
    <w:rsid w:val="007916DF"/>
    <w:rsid w:val="0079195B"/>
    <w:rsid w:val="007919A3"/>
    <w:rsid w:val="00791B68"/>
    <w:rsid w:val="00791C06"/>
    <w:rsid w:val="0079556B"/>
    <w:rsid w:val="007959AF"/>
    <w:rsid w:val="00796335"/>
    <w:rsid w:val="007A00C5"/>
    <w:rsid w:val="007A0E2B"/>
    <w:rsid w:val="007A1B95"/>
    <w:rsid w:val="007A243D"/>
    <w:rsid w:val="007A3691"/>
    <w:rsid w:val="007A46C8"/>
    <w:rsid w:val="007A493E"/>
    <w:rsid w:val="007A4D7E"/>
    <w:rsid w:val="007A61AE"/>
    <w:rsid w:val="007A6CE0"/>
    <w:rsid w:val="007A73F1"/>
    <w:rsid w:val="007A7771"/>
    <w:rsid w:val="007A7B33"/>
    <w:rsid w:val="007A7E11"/>
    <w:rsid w:val="007B0A9C"/>
    <w:rsid w:val="007B0AC8"/>
    <w:rsid w:val="007B174C"/>
    <w:rsid w:val="007B1F4F"/>
    <w:rsid w:val="007B244B"/>
    <w:rsid w:val="007B3344"/>
    <w:rsid w:val="007B3D6D"/>
    <w:rsid w:val="007B407E"/>
    <w:rsid w:val="007B4F58"/>
    <w:rsid w:val="007C1885"/>
    <w:rsid w:val="007C1BA0"/>
    <w:rsid w:val="007C1C0A"/>
    <w:rsid w:val="007C3278"/>
    <w:rsid w:val="007C3A3B"/>
    <w:rsid w:val="007C41E1"/>
    <w:rsid w:val="007C4A27"/>
    <w:rsid w:val="007C63C4"/>
    <w:rsid w:val="007C67A8"/>
    <w:rsid w:val="007C6A57"/>
    <w:rsid w:val="007D4241"/>
    <w:rsid w:val="007D493E"/>
    <w:rsid w:val="007D49BB"/>
    <w:rsid w:val="007D50E5"/>
    <w:rsid w:val="007D5AE9"/>
    <w:rsid w:val="007D76F6"/>
    <w:rsid w:val="007E01E1"/>
    <w:rsid w:val="007E04A2"/>
    <w:rsid w:val="007E0DD6"/>
    <w:rsid w:val="007E1A48"/>
    <w:rsid w:val="007E25A3"/>
    <w:rsid w:val="007E2840"/>
    <w:rsid w:val="007E4AD3"/>
    <w:rsid w:val="007E6561"/>
    <w:rsid w:val="007E7945"/>
    <w:rsid w:val="007E7D68"/>
    <w:rsid w:val="007F0FC5"/>
    <w:rsid w:val="007F2486"/>
    <w:rsid w:val="007F7679"/>
    <w:rsid w:val="007F796B"/>
    <w:rsid w:val="0080486D"/>
    <w:rsid w:val="00805493"/>
    <w:rsid w:val="008073F7"/>
    <w:rsid w:val="008111C9"/>
    <w:rsid w:val="00811E21"/>
    <w:rsid w:val="008149ED"/>
    <w:rsid w:val="008203D2"/>
    <w:rsid w:val="00820AB7"/>
    <w:rsid w:val="0082111A"/>
    <w:rsid w:val="00821CA2"/>
    <w:rsid w:val="00821D6E"/>
    <w:rsid w:val="00823BB0"/>
    <w:rsid w:val="008263A4"/>
    <w:rsid w:val="00826C16"/>
    <w:rsid w:val="0083061C"/>
    <w:rsid w:val="00830995"/>
    <w:rsid w:val="008310EE"/>
    <w:rsid w:val="008322B8"/>
    <w:rsid w:val="00832878"/>
    <w:rsid w:val="00832B54"/>
    <w:rsid w:val="00832ECA"/>
    <w:rsid w:val="008339C6"/>
    <w:rsid w:val="00834214"/>
    <w:rsid w:val="008361FB"/>
    <w:rsid w:val="00836356"/>
    <w:rsid w:val="00836C75"/>
    <w:rsid w:val="00836DD7"/>
    <w:rsid w:val="008374B1"/>
    <w:rsid w:val="00837A0C"/>
    <w:rsid w:val="00840B80"/>
    <w:rsid w:val="00841C7D"/>
    <w:rsid w:val="008423E3"/>
    <w:rsid w:val="00842651"/>
    <w:rsid w:val="00843D0D"/>
    <w:rsid w:val="00845950"/>
    <w:rsid w:val="00846B68"/>
    <w:rsid w:val="00846FBD"/>
    <w:rsid w:val="008517AE"/>
    <w:rsid w:val="00851896"/>
    <w:rsid w:val="0085205A"/>
    <w:rsid w:val="0085254A"/>
    <w:rsid w:val="00852839"/>
    <w:rsid w:val="00853EE8"/>
    <w:rsid w:val="00854165"/>
    <w:rsid w:val="008565DA"/>
    <w:rsid w:val="008567BD"/>
    <w:rsid w:val="00856BE7"/>
    <w:rsid w:val="00857730"/>
    <w:rsid w:val="00857C9F"/>
    <w:rsid w:val="00860505"/>
    <w:rsid w:val="00860B75"/>
    <w:rsid w:val="00862B68"/>
    <w:rsid w:val="0086411B"/>
    <w:rsid w:val="0086665C"/>
    <w:rsid w:val="00867E7F"/>
    <w:rsid w:val="008710F2"/>
    <w:rsid w:val="00875631"/>
    <w:rsid w:val="00875F96"/>
    <w:rsid w:val="008767A9"/>
    <w:rsid w:val="00876998"/>
    <w:rsid w:val="00876A75"/>
    <w:rsid w:val="0087741D"/>
    <w:rsid w:val="00877EF5"/>
    <w:rsid w:val="00882B46"/>
    <w:rsid w:val="00883F82"/>
    <w:rsid w:val="00885D0A"/>
    <w:rsid w:val="00891775"/>
    <w:rsid w:val="00891951"/>
    <w:rsid w:val="0089281F"/>
    <w:rsid w:val="0089368F"/>
    <w:rsid w:val="00894DA4"/>
    <w:rsid w:val="00895176"/>
    <w:rsid w:val="00895441"/>
    <w:rsid w:val="00897AE2"/>
    <w:rsid w:val="008A00AB"/>
    <w:rsid w:val="008A1198"/>
    <w:rsid w:val="008A16C7"/>
    <w:rsid w:val="008A1FC1"/>
    <w:rsid w:val="008A2069"/>
    <w:rsid w:val="008A31AB"/>
    <w:rsid w:val="008A3431"/>
    <w:rsid w:val="008A356F"/>
    <w:rsid w:val="008A37BF"/>
    <w:rsid w:val="008A4020"/>
    <w:rsid w:val="008A5B1A"/>
    <w:rsid w:val="008A64E8"/>
    <w:rsid w:val="008B0970"/>
    <w:rsid w:val="008B11F2"/>
    <w:rsid w:val="008B2F3D"/>
    <w:rsid w:val="008B5BED"/>
    <w:rsid w:val="008B7C55"/>
    <w:rsid w:val="008C0F4D"/>
    <w:rsid w:val="008C0F68"/>
    <w:rsid w:val="008C48DA"/>
    <w:rsid w:val="008C5684"/>
    <w:rsid w:val="008C654B"/>
    <w:rsid w:val="008C6BCA"/>
    <w:rsid w:val="008C6E8B"/>
    <w:rsid w:val="008C7550"/>
    <w:rsid w:val="008C7983"/>
    <w:rsid w:val="008C7EB9"/>
    <w:rsid w:val="008C7EC8"/>
    <w:rsid w:val="008D0FFD"/>
    <w:rsid w:val="008D19C7"/>
    <w:rsid w:val="008D1FF5"/>
    <w:rsid w:val="008D36F6"/>
    <w:rsid w:val="008D730C"/>
    <w:rsid w:val="008E0C57"/>
    <w:rsid w:val="008E3E59"/>
    <w:rsid w:val="008E403C"/>
    <w:rsid w:val="008E46EB"/>
    <w:rsid w:val="008E525D"/>
    <w:rsid w:val="008E5D86"/>
    <w:rsid w:val="008E6156"/>
    <w:rsid w:val="008E6565"/>
    <w:rsid w:val="008F0689"/>
    <w:rsid w:val="008F2446"/>
    <w:rsid w:val="008F29F8"/>
    <w:rsid w:val="008F2FEB"/>
    <w:rsid w:val="008F37A9"/>
    <w:rsid w:val="008F3EB1"/>
    <w:rsid w:val="008F45C8"/>
    <w:rsid w:val="008F4AF5"/>
    <w:rsid w:val="008F5EFC"/>
    <w:rsid w:val="00900F59"/>
    <w:rsid w:val="009010D0"/>
    <w:rsid w:val="00903F71"/>
    <w:rsid w:val="00905624"/>
    <w:rsid w:val="0090597F"/>
    <w:rsid w:val="0090604A"/>
    <w:rsid w:val="00910A30"/>
    <w:rsid w:val="00910F05"/>
    <w:rsid w:val="009125A2"/>
    <w:rsid w:val="009127E4"/>
    <w:rsid w:val="00912D37"/>
    <w:rsid w:val="009144A2"/>
    <w:rsid w:val="00914E2D"/>
    <w:rsid w:val="00915305"/>
    <w:rsid w:val="0091584A"/>
    <w:rsid w:val="00915BDF"/>
    <w:rsid w:val="00917804"/>
    <w:rsid w:val="00920BFE"/>
    <w:rsid w:val="009220AD"/>
    <w:rsid w:val="00923EAB"/>
    <w:rsid w:val="00924F1A"/>
    <w:rsid w:val="00924FA4"/>
    <w:rsid w:val="00925447"/>
    <w:rsid w:val="00925D10"/>
    <w:rsid w:val="00925FAE"/>
    <w:rsid w:val="009275E5"/>
    <w:rsid w:val="0093094B"/>
    <w:rsid w:val="009312AE"/>
    <w:rsid w:val="00932605"/>
    <w:rsid w:val="00933535"/>
    <w:rsid w:val="0093404F"/>
    <w:rsid w:val="009343FB"/>
    <w:rsid w:val="00935F67"/>
    <w:rsid w:val="00935FDB"/>
    <w:rsid w:val="0093693A"/>
    <w:rsid w:val="00937477"/>
    <w:rsid w:val="00937A22"/>
    <w:rsid w:val="00940C90"/>
    <w:rsid w:val="0094338D"/>
    <w:rsid w:val="0094342A"/>
    <w:rsid w:val="00944A1B"/>
    <w:rsid w:val="009460BC"/>
    <w:rsid w:val="00952FF8"/>
    <w:rsid w:val="0095359D"/>
    <w:rsid w:val="009565C1"/>
    <w:rsid w:val="00960845"/>
    <w:rsid w:val="009608AB"/>
    <w:rsid w:val="00960CBA"/>
    <w:rsid w:val="009636F2"/>
    <w:rsid w:val="00963F82"/>
    <w:rsid w:val="009645A2"/>
    <w:rsid w:val="009671F5"/>
    <w:rsid w:val="009677B5"/>
    <w:rsid w:val="00967A48"/>
    <w:rsid w:val="00971B4F"/>
    <w:rsid w:val="009738C6"/>
    <w:rsid w:val="00974996"/>
    <w:rsid w:val="009766D9"/>
    <w:rsid w:val="00976D3F"/>
    <w:rsid w:val="009778FB"/>
    <w:rsid w:val="0098484C"/>
    <w:rsid w:val="00990553"/>
    <w:rsid w:val="00991F30"/>
    <w:rsid w:val="0099578F"/>
    <w:rsid w:val="009A0002"/>
    <w:rsid w:val="009A0286"/>
    <w:rsid w:val="009A10E0"/>
    <w:rsid w:val="009A17CF"/>
    <w:rsid w:val="009A2369"/>
    <w:rsid w:val="009A326B"/>
    <w:rsid w:val="009A5FAA"/>
    <w:rsid w:val="009B0912"/>
    <w:rsid w:val="009B3011"/>
    <w:rsid w:val="009B3F6C"/>
    <w:rsid w:val="009B4213"/>
    <w:rsid w:val="009B51B7"/>
    <w:rsid w:val="009B5ABC"/>
    <w:rsid w:val="009B6977"/>
    <w:rsid w:val="009C0BFB"/>
    <w:rsid w:val="009C48DC"/>
    <w:rsid w:val="009C7F74"/>
    <w:rsid w:val="009D07B0"/>
    <w:rsid w:val="009D089F"/>
    <w:rsid w:val="009D15D5"/>
    <w:rsid w:val="009D1802"/>
    <w:rsid w:val="009D3705"/>
    <w:rsid w:val="009D3DCE"/>
    <w:rsid w:val="009D404A"/>
    <w:rsid w:val="009E1DFA"/>
    <w:rsid w:val="009E1FEE"/>
    <w:rsid w:val="009E2A91"/>
    <w:rsid w:val="009E32E7"/>
    <w:rsid w:val="009E7151"/>
    <w:rsid w:val="009E7DBD"/>
    <w:rsid w:val="009F35C5"/>
    <w:rsid w:val="009F4DE8"/>
    <w:rsid w:val="009F52B4"/>
    <w:rsid w:val="00A00825"/>
    <w:rsid w:val="00A01204"/>
    <w:rsid w:val="00A0322A"/>
    <w:rsid w:val="00A03A5F"/>
    <w:rsid w:val="00A03D46"/>
    <w:rsid w:val="00A0508B"/>
    <w:rsid w:val="00A05B28"/>
    <w:rsid w:val="00A06A61"/>
    <w:rsid w:val="00A06C32"/>
    <w:rsid w:val="00A14577"/>
    <w:rsid w:val="00A14D9B"/>
    <w:rsid w:val="00A14DDA"/>
    <w:rsid w:val="00A167FB"/>
    <w:rsid w:val="00A21BAC"/>
    <w:rsid w:val="00A23BA5"/>
    <w:rsid w:val="00A26337"/>
    <w:rsid w:val="00A26F75"/>
    <w:rsid w:val="00A307AE"/>
    <w:rsid w:val="00A31C9B"/>
    <w:rsid w:val="00A322EF"/>
    <w:rsid w:val="00A335C8"/>
    <w:rsid w:val="00A3472B"/>
    <w:rsid w:val="00A34CCD"/>
    <w:rsid w:val="00A34E90"/>
    <w:rsid w:val="00A376C8"/>
    <w:rsid w:val="00A378F3"/>
    <w:rsid w:val="00A43770"/>
    <w:rsid w:val="00A475F1"/>
    <w:rsid w:val="00A47AAA"/>
    <w:rsid w:val="00A51228"/>
    <w:rsid w:val="00A5130D"/>
    <w:rsid w:val="00A51AA8"/>
    <w:rsid w:val="00A55473"/>
    <w:rsid w:val="00A56F21"/>
    <w:rsid w:val="00A607D0"/>
    <w:rsid w:val="00A60EDC"/>
    <w:rsid w:val="00A621AE"/>
    <w:rsid w:val="00A62796"/>
    <w:rsid w:val="00A62E0E"/>
    <w:rsid w:val="00A64F69"/>
    <w:rsid w:val="00A65D57"/>
    <w:rsid w:val="00A65FE0"/>
    <w:rsid w:val="00A67198"/>
    <w:rsid w:val="00A70862"/>
    <w:rsid w:val="00A70D5A"/>
    <w:rsid w:val="00A71A6C"/>
    <w:rsid w:val="00A72ACD"/>
    <w:rsid w:val="00A72C3A"/>
    <w:rsid w:val="00A72FB9"/>
    <w:rsid w:val="00A741DC"/>
    <w:rsid w:val="00A74D00"/>
    <w:rsid w:val="00A74E6E"/>
    <w:rsid w:val="00A75BEC"/>
    <w:rsid w:val="00A76F43"/>
    <w:rsid w:val="00A80907"/>
    <w:rsid w:val="00A81210"/>
    <w:rsid w:val="00A81B04"/>
    <w:rsid w:val="00A82081"/>
    <w:rsid w:val="00A826AE"/>
    <w:rsid w:val="00A8279C"/>
    <w:rsid w:val="00A82ACC"/>
    <w:rsid w:val="00A83961"/>
    <w:rsid w:val="00A86D2B"/>
    <w:rsid w:val="00A879E4"/>
    <w:rsid w:val="00A87BCF"/>
    <w:rsid w:val="00A92905"/>
    <w:rsid w:val="00A93088"/>
    <w:rsid w:val="00A930A7"/>
    <w:rsid w:val="00A9318A"/>
    <w:rsid w:val="00A94393"/>
    <w:rsid w:val="00A95E83"/>
    <w:rsid w:val="00A961F2"/>
    <w:rsid w:val="00A9736E"/>
    <w:rsid w:val="00AA037D"/>
    <w:rsid w:val="00AA3A50"/>
    <w:rsid w:val="00AA5DCF"/>
    <w:rsid w:val="00AB021E"/>
    <w:rsid w:val="00AB1FF0"/>
    <w:rsid w:val="00AB2B4D"/>
    <w:rsid w:val="00AB3290"/>
    <w:rsid w:val="00AB33DD"/>
    <w:rsid w:val="00AB47D5"/>
    <w:rsid w:val="00AB47DB"/>
    <w:rsid w:val="00AB49AD"/>
    <w:rsid w:val="00AB6040"/>
    <w:rsid w:val="00AB6417"/>
    <w:rsid w:val="00AB6EC4"/>
    <w:rsid w:val="00AB797E"/>
    <w:rsid w:val="00AC06CA"/>
    <w:rsid w:val="00AC23E1"/>
    <w:rsid w:val="00AC2503"/>
    <w:rsid w:val="00AD4150"/>
    <w:rsid w:val="00AD5CCB"/>
    <w:rsid w:val="00AD644C"/>
    <w:rsid w:val="00AD6B03"/>
    <w:rsid w:val="00AD75A8"/>
    <w:rsid w:val="00AD7ED1"/>
    <w:rsid w:val="00AE165D"/>
    <w:rsid w:val="00AE1C2B"/>
    <w:rsid w:val="00AE34B5"/>
    <w:rsid w:val="00AE37B5"/>
    <w:rsid w:val="00AE4491"/>
    <w:rsid w:val="00AE48FF"/>
    <w:rsid w:val="00AE4AE8"/>
    <w:rsid w:val="00AE593A"/>
    <w:rsid w:val="00AE73E5"/>
    <w:rsid w:val="00AF0302"/>
    <w:rsid w:val="00AF05BC"/>
    <w:rsid w:val="00AF1F6F"/>
    <w:rsid w:val="00AF241B"/>
    <w:rsid w:val="00AF3B5C"/>
    <w:rsid w:val="00AF4B25"/>
    <w:rsid w:val="00AF515F"/>
    <w:rsid w:val="00B005D1"/>
    <w:rsid w:val="00B00972"/>
    <w:rsid w:val="00B010DC"/>
    <w:rsid w:val="00B01AEA"/>
    <w:rsid w:val="00B04492"/>
    <w:rsid w:val="00B1012C"/>
    <w:rsid w:val="00B1562F"/>
    <w:rsid w:val="00B15AFB"/>
    <w:rsid w:val="00B21660"/>
    <w:rsid w:val="00B21F0D"/>
    <w:rsid w:val="00B23707"/>
    <w:rsid w:val="00B2418F"/>
    <w:rsid w:val="00B25152"/>
    <w:rsid w:val="00B253E4"/>
    <w:rsid w:val="00B25D7F"/>
    <w:rsid w:val="00B25DA1"/>
    <w:rsid w:val="00B308A4"/>
    <w:rsid w:val="00B31AEC"/>
    <w:rsid w:val="00B33937"/>
    <w:rsid w:val="00B363E3"/>
    <w:rsid w:val="00B370B3"/>
    <w:rsid w:val="00B37873"/>
    <w:rsid w:val="00B40EC6"/>
    <w:rsid w:val="00B43344"/>
    <w:rsid w:val="00B44189"/>
    <w:rsid w:val="00B45963"/>
    <w:rsid w:val="00B467AD"/>
    <w:rsid w:val="00B46967"/>
    <w:rsid w:val="00B46EAC"/>
    <w:rsid w:val="00B50FB4"/>
    <w:rsid w:val="00B521BE"/>
    <w:rsid w:val="00B5316B"/>
    <w:rsid w:val="00B54524"/>
    <w:rsid w:val="00B5461D"/>
    <w:rsid w:val="00B55099"/>
    <w:rsid w:val="00B5566A"/>
    <w:rsid w:val="00B55C17"/>
    <w:rsid w:val="00B568CA"/>
    <w:rsid w:val="00B604F5"/>
    <w:rsid w:val="00B615D8"/>
    <w:rsid w:val="00B618AC"/>
    <w:rsid w:val="00B621AB"/>
    <w:rsid w:val="00B62302"/>
    <w:rsid w:val="00B6232D"/>
    <w:rsid w:val="00B64CB4"/>
    <w:rsid w:val="00B6690F"/>
    <w:rsid w:val="00B67B40"/>
    <w:rsid w:val="00B67BCA"/>
    <w:rsid w:val="00B71843"/>
    <w:rsid w:val="00B72FA8"/>
    <w:rsid w:val="00B7536B"/>
    <w:rsid w:val="00B763A1"/>
    <w:rsid w:val="00B826EB"/>
    <w:rsid w:val="00B82EA8"/>
    <w:rsid w:val="00B84751"/>
    <w:rsid w:val="00B8494A"/>
    <w:rsid w:val="00B84AC4"/>
    <w:rsid w:val="00B870C1"/>
    <w:rsid w:val="00B9069B"/>
    <w:rsid w:val="00B91D9C"/>
    <w:rsid w:val="00B93A30"/>
    <w:rsid w:val="00B94AB3"/>
    <w:rsid w:val="00BA0058"/>
    <w:rsid w:val="00BA2005"/>
    <w:rsid w:val="00BA28A7"/>
    <w:rsid w:val="00BA3266"/>
    <w:rsid w:val="00BA47E7"/>
    <w:rsid w:val="00BA60DC"/>
    <w:rsid w:val="00BA6B34"/>
    <w:rsid w:val="00BB04EE"/>
    <w:rsid w:val="00BB0746"/>
    <w:rsid w:val="00BB33FA"/>
    <w:rsid w:val="00BB403C"/>
    <w:rsid w:val="00BB4E1C"/>
    <w:rsid w:val="00BC18BD"/>
    <w:rsid w:val="00BC1FCD"/>
    <w:rsid w:val="00BC36E9"/>
    <w:rsid w:val="00BC3715"/>
    <w:rsid w:val="00BC5266"/>
    <w:rsid w:val="00BC5BFA"/>
    <w:rsid w:val="00BC67BD"/>
    <w:rsid w:val="00BC6EAF"/>
    <w:rsid w:val="00BD09B6"/>
    <w:rsid w:val="00BD1F5E"/>
    <w:rsid w:val="00BD2187"/>
    <w:rsid w:val="00BD2C23"/>
    <w:rsid w:val="00BD32EC"/>
    <w:rsid w:val="00BD376E"/>
    <w:rsid w:val="00BD5308"/>
    <w:rsid w:val="00BD585E"/>
    <w:rsid w:val="00BD6FF8"/>
    <w:rsid w:val="00BE2B93"/>
    <w:rsid w:val="00BE3107"/>
    <w:rsid w:val="00BE4897"/>
    <w:rsid w:val="00BE5F12"/>
    <w:rsid w:val="00BE5F7A"/>
    <w:rsid w:val="00BE73AC"/>
    <w:rsid w:val="00BF31F8"/>
    <w:rsid w:val="00BF33BE"/>
    <w:rsid w:val="00BF38D6"/>
    <w:rsid w:val="00BF3C1E"/>
    <w:rsid w:val="00BF3E2A"/>
    <w:rsid w:val="00BF5967"/>
    <w:rsid w:val="00BF5E3C"/>
    <w:rsid w:val="00BF6395"/>
    <w:rsid w:val="00BF664F"/>
    <w:rsid w:val="00BF6B85"/>
    <w:rsid w:val="00BF7610"/>
    <w:rsid w:val="00C025CF"/>
    <w:rsid w:val="00C03838"/>
    <w:rsid w:val="00C046EE"/>
    <w:rsid w:val="00C0530B"/>
    <w:rsid w:val="00C068AF"/>
    <w:rsid w:val="00C10869"/>
    <w:rsid w:val="00C10C4D"/>
    <w:rsid w:val="00C13F06"/>
    <w:rsid w:val="00C15EFF"/>
    <w:rsid w:val="00C16C53"/>
    <w:rsid w:val="00C20921"/>
    <w:rsid w:val="00C2092F"/>
    <w:rsid w:val="00C20CCE"/>
    <w:rsid w:val="00C219A6"/>
    <w:rsid w:val="00C22CAC"/>
    <w:rsid w:val="00C2316B"/>
    <w:rsid w:val="00C2344D"/>
    <w:rsid w:val="00C24086"/>
    <w:rsid w:val="00C259E3"/>
    <w:rsid w:val="00C33CAD"/>
    <w:rsid w:val="00C3502E"/>
    <w:rsid w:val="00C40344"/>
    <w:rsid w:val="00C4048E"/>
    <w:rsid w:val="00C4121F"/>
    <w:rsid w:val="00C41547"/>
    <w:rsid w:val="00C41F3F"/>
    <w:rsid w:val="00C436F3"/>
    <w:rsid w:val="00C43896"/>
    <w:rsid w:val="00C4461E"/>
    <w:rsid w:val="00C44B4C"/>
    <w:rsid w:val="00C45EAC"/>
    <w:rsid w:val="00C46540"/>
    <w:rsid w:val="00C50448"/>
    <w:rsid w:val="00C5060F"/>
    <w:rsid w:val="00C506EA"/>
    <w:rsid w:val="00C512E0"/>
    <w:rsid w:val="00C51825"/>
    <w:rsid w:val="00C52073"/>
    <w:rsid w:val="00C52331"/>
    <w:rsid w:val="00C609E9"/>
    <w:rsid w:val="00C61B0B"/>
    <w:rsid w:val="00C61F68"/>
    <w:rsid w:val="00C62314"/>
    <w:rsid w:val="00C633D2"/>
    <w:rsid w:val="00C63AE6"/>
    <w:rsid w:val="00C700EA"/>
    <w:rsid w:val="00C74178"/>
    <w:rsid w:val="00C74661"/>
    <w:rsid w:val="00C801A7"/>
    <w:rsid w:val="00C81540"/>
    <w:rsid w:val="00C81BA6"/>
    <w:rsid w:val="00C820D0"/>
    <w:rsid w:val="00C86C66"/>
    <w:rsid w:val="00C90238"/>
    <w:rsid w:val="00C91605"/>
    <w:rsid w:val="00C92A4B"/>
    <w:rsid w:val="00C9346F"/>
    <w:rsid w:val="00C93652"/>
    <w:rsid w:val="00C94455"/>
    <w:rsid w:val="00C9497A"/>
    <w:rsid w:val="00C94C33"/>
    <w:rsid w:val="00C957C9"/>
    <w:rsid w:val="00C9630F"/>
    <w:rsid w:val="00C963C8"/>
    <w:rsid w:val="00CA03B8"/>
    <w:rsid w:val="00CA0828"/>
    <w:rsid w:val="00CA102E"/>
    <w:rsid w:val="00CA40B0"/>
    <w:rsid w:val="00CA6D37"/>
    <w:rsid w:val="00CB271C"/>
    <w:rsid w:val="00CB2D6D"/>
    <w:rsid w:val="00CB3596"/>
    <w:rsid w:val="00CB40FF"/>
    <w:rsid w:val="00CB4639"/>
    <w:rsid w:val="00CB4FA8"/>
    <w:rsid w:val="00CB7034"/>
    <w:rsid w:val="00CC14CA"/>
    <w:rsid w:val="00CC1892"/>
    <w:rsid w:val="00CC21B9"/>
    <w:rsid w:val="00CC28B5"/>
    <w:rsid w:val="00CC2B6F"/>
    <w:rsid w:val="00CC41B9"/>
    <w:rsid w:val="00CC6078"/>
    <w:rsid w:val="00CC6BF9"/>
    <w:rsid w:val="00CD05B6"/>
    <w:rsid w:val="00CD1289"/>
    <w:rsid w:val="00CD1563"/>
    <w:rsid w:val="00CD215C"/>
    <w:rsid w:val="00CD2B45"/>
    <w:rsid w:val="00CD30CA"/>
    <w:rsid w:val="00CD4451"/>
    <w:rsid w:val="00CD5423"/>
    <w:rsid w:val="00CD6589"/>
    <w:rsid w:val="00CD766D"/>
    <w:rsid w:val="00CD7D8D"/>
    <w:rsid w:val="00CE21FB"/>
    <w:rsid w:val="00CE2DB9"/>
    <w:rsid w:val="00CE3AB1"/>
    <w:rsid w:val="00CE4C45"/>
    <w:rsid w:val="00CE70F4"/>
    <w:rsid w:val="00CF3694"/>
    <w:rsid w:val="00CF4BFB"/>
    <w:rsid w:val="00CF64DE"/>
    <w:rsid w:val="00D003A7"/>
    <w:rsid w:val="00D01BBC"/>
    <w:rsid w:val="00D04A3B"/>
    <w:rsid w:val="00D0591C"/>
    <w:rsid w:val="00D059C4"/>
    <w:rsid w:val="00D067F1"/>
    <w:rsid w:val="00D06CD4"/>
    <w:rsid w:val="00D06E49"/>
    <w:rsid w:val="00D10662"/>
    <w:rsid w:val="00D149EA"/>
    <w:rsid w:val="00D14C36"/>
    <w:rsid w:val="00D15275"/>
    <w:rsid w:val="00D16385"/>
    <w:rsid w:val="00D17447"/>
    <w:rsid w:val="00D17BCF"/>
    <w:rsid w:val="00D2106F"/>
    <w:rsid w:val="00D243E8"/>
    <w:rsid w:val="00D266AA"/>
    <w:rsid w:val="00D2753C"/>
    <w:rsid w:val="00D31737"/>
    <w:rsid w:val="00D317CE"/>
    <w:rsid w:val="00D3260C"/>
    <w:rsid w:val="00D32E49"/>
    <w:rsid w:val="00D32EB9"/>
    <w:rsid w:val="00D35C13"/>
    <w:rsid w:val="00D36772"/>
    <w:rsid w:val="00D3709F"/>
    <w:rsid w:val="00D37FDF"/>
    <w:rsid w:val="00D44201"/>
    <w:rsid w:val="00D449A0"/>
    <w:rsid w:val="00D45301"/>
    <w:rsid w:val="00D458C9"/>
    <w:rsid w:val="00D51B3F"/>
    <w:rsid w:val="00D56306"/>
    <w:rsid w:val="00D57352"/>
    <w:rsid w:val="00D623B0"/>
    <w:rsid w:val="00D629FE"/>
    <w:rsid w:val="00D64930"/>
    <w:rsid w:val="00D6531C"/>
    <w:rsid w:val="00D66062"/>
    <w:rsid w:val="00D670CB"/>
    <w:rsid w:val="00D70611"/>
    <w:rsid w:val="00D71EB8"/>
    <w:rsid w:val="00D729CA"/>
    <w:rsid w:val="00D72A74"/>
    <w:rsid w:val="00D7510F"/>
    <w:rsid w:val="00D76291"/>
    <w:rsid w:val="00D80C4C"/>
    <w:rsid w:val="00D820F4"/>
    <w:rsid w:val="00D821D8"/>
    <w:rsid w:val="00D82C34"/>
    <w:rsid w:val="00D83C6D"/>
    <w:rsid w:val="00D83E69"/>
    <w:rsid w:val="00D852CF"/>
    <w:rsid w:val="00D856F4"/>
    <w:rsid w:val="00D856F8"/>
    <w:rsid w:val="00D87744"/>
    <w:rsid w:val="00D90C52"/>
    <w:rsid w:val="00D9153C"/>
    <w:rsid w:val="00D93A82"/>
    <w:rsid w:val="00D93A98"/>
    <w:rsid w:val="00D93FF7"/>
    <w:rsid w:val="00D941AB"/>
    <w:rsid w:val="00D960DF"/>
    <w:rsid w:val="00D9789E"/>
    <w:rsid w:val="00D97E6F"/>
    <w:rsid w:val="00DA00D5"/>
    <w:rsid w:val="00DA0622"/>
    <w:rsid w:val="00DA0667"/>
    <w:rsid w:val="00DA0EB1"/>
    <w:rsid w:val="00DA105E"/>
    <w:rsid w:val="00DA1465"/>
    <w:rsid w:val="00DA1609"/>
    <w:rsid w:val="00DA21F5"/>
    <w:rsid w:val="00DA35B9"/>
    <w:rsid w:val="00DA478B"/>
    <w:rsid w:val="00DA4A04"/>
    <w:rsid w:val="00DB09F4"/>
    <w:rsid w:val="00DB1E63"/>
    <w:rsid w:val="00DB2EB6"/>
    <w:rsid w:val="00DB347E"/>
    <w:rsid w:val="00DB5440"/>
    <w:rsid w:val="00DB58A0"/>
    <w:rsid w:val="00DB58CB"/>
    <w:rsid w:val="00DB69B6"/>
    <w:rsid w:val="00DB7B65"/>
    <w:rsid w:val="00DC3FD2"/>
    <w:rsid w:val="00DC5A62"/>
    <w:rsid w:val="00DC67CF"/>
    <w:rsid w:val="00DC69E4"/>
    <w:rsid w:val="00DD19A5"/>
    <w:rsid w:val="00DD218A"/>
    <w:rsid w:val="00DD3D7D"/>
    <w:rsid w:val="00DD517B"/>
    <w:rsid w:val="00DD58BB"/>
    <w:rsid w:val="00DD5BEF"/>
    <w:rsid w:val="00DD5EBE"/>
    <w:rsid w:val="00DE0422"/>
    <w:rsid w:val="00DE0530"/>
    <w:rsid w:val="00DE05A3"/>
    <w:rsid w:val="00DE0680"/>
    <w:rsid w:val="00DE0DF8"/>
    <w:rsid w:val="00DE43AF"/>
    <w:rsid w:val="00DE4C9C"/>
    <w:rsid w:val="00DF0E0A"/>
    <w:rsid w:val="00DF1864"/>
    <w:rsid w:val="00DF4C16"/>
    <w:rsid w:val="00DF66B4"/>
    <w:rsid w:val="00DF7206"/>
    <w:rsid w:val="00E022A1"/>
    <w:rsid w:val="00E024B3"/>
    <w:rsid w:val="00E0443C"/>
    <w:rsid w:val="00E06582"/>
    <w:rsid w:val="00E076A9"/>
    <w:rsid w:val="00E13489"/>
    <w:rsid w:val="00E14E9B"/>
    <w:rsid w:val="00E15129"/>
    <w:rsid w:val="00E15DFA"/>
    <w:rsid w:val="00E16EBF"/>
    <w:rsid w:val="00E20280"/>
    <w:rsid w:val="00E22566"/>
    <w:rsid w:val="00E226E8"/>
    <w:rsid w:val="00E30C6E"/>
    <w:rsid w:val="00E31A4F"/>
    <w:rsid w:val="00E32F8D"/>
    <w:rsid w:val="00E330AA"/>
    <w:rsid w:val="00E3440D"/>
    <w:rsid w:val="00E356F8"/>
    <w:rsid w:val="00E3733F"/>
    <w:rsid w:val="00E375C2"/>
    <w:rsid w:val="00E4144F"/>
    <w:rsid w:val="00E435D2"/>
    <w:rsid w:val="00E44203"/>
    <w:rsid w:val="00E44F19"/>
    <w:rsid w:val="00E4513F"/>
    <w:rsid w:val="00E460EF"/>
    <w:rsid w:val="00E46AC7"/>
    <w:rsid w:val="00E46C01"/>
    <w:rsid w:val="00E47ED6"/>
    <w:rsid w:val="00E51F52"/>
    <w:rsid w:val="00E529E1"/>
    <w:rsid w:val="00E54ED2"/>
    <w:rsid w:val="00E56B85"/>
    <w:rsid w:val="00E606BF"/>
    <w:rsid w:val="00E60C18"/>
    <w:rsid w:val="00E6122D"/>
    <w:rsid w:val="00E635BE"/>
    <w:rsid w:val="00E6378F"/>
    <w:rsid w:val="00E64996"/>
    <w:rsid w:val="00E67216"/>
    <w:rsid w:val="00E67383"/>
    <w:rsid w:val="00E67469"/>
    <w:rsid w:val="00E70704"/>
    <w:rsid w:val="00E72D46"/>
    <w:rsid w:val="00E75662"/>
    <w:rsid w:val="00E76B34"/>
    <w:rsid w:val="00E7720F"/>
    <w:rsid w:val="00E81D50"/>
    <w:rsid w:val="00E834CC"/>
    <w:rsid w:val="00E84742"/>
    <w:rsid w:val="00E8643F"/>
    <w:rsid w:val="00E90435"/>
    <w:rsid w:val="00E9287C"/>
    <w:rsid w:val="00E92B24"/>
    <w:rsid w:val="00E92BE7"/>
    <w:rsid w:val="00E9438F"/>
    <w:rsid w:val="00E96C3A"/>
    <w:rsid w:val="00E97C0B"/>
    <w:rsid w:val="00E97E09"/>
    <w:rsid w:val="00EA1CF8"/>
    <w:rsid w:val="00EA243C"/>
    <w:rsid w:val="00EA2742"/>
    <w:rsid w:val="00EA29CF"/>
    <w:rsid w:val="00EB79E0"/>
    <w:rsid w:val="00EC00A4"/>
    <w:rsid w:val="00EC13F1"/>
    <w:rsid w:val="00EC2B8B"/>
    <w:rsid w:val="00EC3225"/>
    <w:rsid w:val="00EC33C3"/>
    <w:rsid w:val="00EC35AD"/>
    <w:rsid w:val="00EC48F5"/>
    <w:rsid w:val="00EC551F"/>
    <w:rsid w:val="00EC5EFB"/>
    <w:rsid w:val="00EC766B"/>
    <w:rsid w:val="00ED0537"/>
    <w:rsid w:val="00ED0C25"/>
    <w:rsid w:val="00ED0FF8"/>
    <w:rsid w:val="00ED13D8"/>
    <w:rsid w:val="00ED2697"/>
    <w:rsid w:val="00ED3B7D"/>
    <w:rsid w:val="00ED4623"/>
    <w:rsid w:val="00ED579A"/>
    <w:rsid w:val="00ED59ED"/>
    <w:rsid w:val="00ED6047"/>
    <w:rsid w:val="00ED6521"/>
    <w:rsid w:val="00ED65C3"/>
    <w:rsid w:val="00ED6CFE"/>
    <w:rsid w:val="00ED7A52"/>
    <w:rsid w:val="00EE0584"/>
    <w:rsid w:val="00EE06C4"/>
    <w:rsid w:val="00EE12CE"/>
    <w:rsid w:val="00EE24C6"/>
    <w:rsid w:val="00EE31E5"/>
    <w:rsid w:val="00EE3534"/>
    <w:rsid w:val="00EE568F"/>
    <w:rsid w:val="00EE5ECC"/>
    <w:rsid w:val="00EE67AA"/>
    <w:rsid w:val="00EE682F"/>
    <w:rsid w:val="00EE6B56"/>
    <w:rsid w:val="00EE6C60"/>
    <w:rsid w:val="00EE6EBD"/>
    <w:rsid w:val="00EE788D"/>
    <w:rsid w:val="00EE7911"/>
    <w:rsid w:val="00EF17FE"/>
    <w:rsid w:val="00EF2CE5"/>
    <w:rsid w:val="00EF3886"/>
    <w:rsid w:val="00EF5714"/>
    <w:rsid w:val="00EF6663"/>
    <w:rsid w:val="00EF7852"/>
    <w:rsid w:val="00F010BE"/>
    <w:rsid w:val="00F016F6"/>
    <w:rsid w:val="00F04D00"/>
    <w:rsid w:val="00F051E3"/>
    <w:rsid w:val="00F10360"/>
    <w:rsid w:val="00F11B1B"/>
    <w:rsid w:val="00F121C4"/>
    <w:rsid w:val="00F1262F"/>
    <w:rsid w:val="00F15134"/>
    <w:rsid w:val="00F17245"/>
    <w:rsid w:val="00F20AE0"/>
    <w:rsid w:val="00F21D33"/>
    <w:rsid w:val="00F22A55"/>
    <w:rsid w:val="00F23101"/>
    <w:rsid w:val="00F24546"/>
    <w:rsid w:val="00F26226"/>
    <w:rsid w:val="00F26537"/>
    <w:rsid w:val="00F27FB2"/>
    <w:rsid w:val="00F30799"/>
    <w:rsid w:val="00F32897"/>
    <w:rsid w:val="00F32D25"/>
    <w:rsid w:val="00F3320B"/>
    <w:rsid w:val="00F33C35"/>
    <w:rsid w:val="00F341A9"/>
    <w:rsid w:val="00F36B44"/>
    <w:rsid w:val="00F44932"/>
    <w:rsid w:val="00F4630A"/>
    <w:rsid w:val="00F46CA7"/>
    <w:rsid w:val="00F46FA1"/>
    <w:rsid w:val="00F47D50"/>
    <w:rsid w:val="00F52CC4"/>
    <w:rsid w:val="00F53B51"/>
    <w:rsid w:val="00F54212"/>
    <w:rsid w:val="00F55CD8"/>
    <w:rsid w:val="00F56DB0"/>
    <w:rsid w:val="00F57B07"/>
    <w:rsid w:val="00F60282"/>
    <w:rsid w:val="00F654FA"/>
    <w:rsid w:val="00F66E71"/>
    <w:rsid w:val="00F67769"/>
    <w:rsid w:val="00F67AF9"/>
    <w:rsid w:val="00F7023B"/>
    <w:rsid w:val="00F7348A"/>
    <w:rsid w:val="00F73653"/>
    <w:rsid w:val="00F758DF"/>
    <w:rsid w:val="00F76DF5"/>
    <w:rsid w:val="00F7733F"/>
    <w:rsid w:val="00F81A1F"/>
    <w:rsid w:val="00F82061"/>
    <w:rsid w:val="00F82C7D"/>
    <w:rsid w:val="00F83AE7"/>
    <w:rsid w:val="00F85128"/>
    <w:rsid w:val="00F85A25"/>
    <w:rsid w:val="00F85BAC"/>
    <w:rsid w:val="00F87669"/>
    <w:rsid w:val="00F87913"/>
    <w:rsid w:val="00F90088"/>
    <w:rsid w:val="00F92D15"/>
    <w:rsid w:val="00F92DC1"/>
    <w:rsid w:val="00F93083"/>
    <w:rsid w:val="00F93C6E"/>
    <w:rsid w:val="00F95BF4"/>
    <w:rsid w:val="00F97404"/>
    <w:rsid w:val="00FA043E"/>
    <w:rsid w:val="00FA10F8"/>
    <w:rsid w:val="00FA1E25"/>
    <w:rsid w:val="00FA1F6D"/>
    <w:rsid w:val="00FA204E"/>
    <w:rsid w:val="00FA3857"/>
    <w:rsid w:val="00FA3B5D"/>
    <w:rsid w:val="00FA45C2"/>
    <w:rsid w:val="00FA6274"/>
    <w:rsid w:val="00FA7966"/>
    <w:rsid w:val="00FB1D31"/>
    <w:rsid w:val="00FB2049"/>
    <w:rsid w:val="00FB2CCC"/>
    <w:rsid w:val="00FB30B9"/>
    <w:rsid w:val="00FB385E"/>
    <w:rsid w:val="00FB45D2"/>
    <w:rsid w:val="00FB50D8"/>
    <w:rsid w:val="00FB6857"/>
    <w:rsid w:val="00FB74C6"/>
    <w:rsid w:val="00FB7547"/>
    <w:rsid w:val="00FC02D5"/>
    <w:rsid w:val="00FC0A73"/>
    <w:rsid w:val="00FC12A9"/>
    <w:rsid w:val="00FC246C"/>
    <w:rsid w:val="00FC2E38"/>
    <w:rsid w:val="00FC3414"/>
    <w:rsid w:val="00FC42E0"/>
    <w:rsid w:val="00FC5561"/>
    <w:rsid w:val="00FC5672"/>
    <w:rsid w:val="00FC5835"/>
    <w:rsid w:val="00FC5F2B"/>
    <w:rsid w:val="00FC6196"/>
    <w:rsid w:val="00FC68C8"/>
    <w:rsid w:val="00FC6FFC"/>
    <w:rsid w:val="00FC70AE"/>
    <w:rsid w:val="00FC729F"/>
    <w:rsid w:val="00FD0E83"/>
    <w:rsid w:val="00FD18F1"/>
    <w:rsid w:val="00FD1F6A"/>
    <w:rsid w:val="00FD2509"/>
    <w:rsid w:val="00FD25F5"/>
    <w:rsid w:val="00FD371D"/>
    <w:rsid w:val="00FD3A28"/>
    <w:rsid w:val="00FD423B"/>
    <w:rsid w:val="00FD5F7F"/>
    <w:rsid w:val="00FD67EC"/>
    <w:rsid w:val="00FE0C99"/>
    <w:rsid w:val="00FE0FC6"/>
    <w:rsid w:val="00FE3B65"/>
    <w:rsid w:val="00FE5C36"/>
    <w:rsid w:val="00FE5C93"/>
    <w:rsid w:val="00FE5EF8"/>
    <w:rsid w:val="00FF3002"/>
    <w:rsid w:val="00FF4347"/>
    <w:rsid w:val="00FF43E0"/>
    <w:rsid w:val="00FF464C"/>
    <w:rsid w:val="00FF4C39"/>
    <w:rsid w:val="00FF598E"/>
    <w:rsid w:val="04D06AA5"/>
    <w:rsid w:val="07AB48DA"/>
    <w:rsid w:val="12926E66"/>
    <w:rsid w:val="13B33C88"/>
    <w:rsid w:val="1C2C3760"/>
    <w:rsid w:val="1D424B0B"/>
    <w:rsid w:val="1D546F3E"/>
    <w:rsid w:val="1F6F23A3"/>
    <w:rsid w:val="207B6321"/>
    <w:rsid w:val="23FEF829"/>
    <w:rsid w:val="2D676D02"/>
    <w:rsid w:val="2EBFAFBA"/>
    <w:rsid w:val="35FE24F9"/>
    <w:rsid w:val="3A0E7665"/>
    <w:rsid w:val="3BFB5750"/>
    <w:rsid w:val="3CFD9828"/>
    <w:rsid w:val="3EAB082E"/>
    <w:rsid w:val="3FDD8D47"/>
    <w:rsid w:val="49B91669"/>
    <w:rsid w:val="50F80285"/>
    <w:rsid w:val="56EBE37D"/>
    <w:rsid w:val="56F7897E"/>
    <w:rsid w:val="574FE06C"/>
    <w:rsid w:val="5BBACA2F"/>
    <w:rsid w:val="5BBFAEB5"/>
    <w:rsid w:val="5C9B96CB"/>
    <w:rsid w:val="5F7772AB"/>
    <w:rsid w:val="5FD53974"/>
    <w:rsid w:val="5FFF822A"/>
    <w:rsid w:val="5FFFC7F7"/>
    <w:rsid w:val="657FAE7F"/>
    <w:rsid w:val="67FE9021"/>
    <w:rsid w:val="6B7F0038"/>
    <w:rsid w:val="6F8F7B40"/>
    <w:rsid w:val="7377E18E"/>
    <w:rsid w:val="76FF5A75"/>
    <w:rsid w:val="7779BBA8"/>
    <w:rsid w:val="77CF8D84"/>
    <w:rsid w:val="77FDD93E"/>
    <w:rsid w:val="77FE33BA"/>
    <w:rsid w:val="797681EB"/>
    <w:rsid w:val="7A7BA920"/>
    <w:rsid w:val="7BBCE0F4"/>
    <w:rsid w:val="7BDB3677"/>
    <w:rsid w:val="7BFFD20C"/>
    <w:rsid w:val="7C3A45D3"/>
    <w:rsid w:val="7DACA231"/>
    <w:rsid w:val="7DDB4453"/>
    <w:rsid w:val="7E78B575"/>
    <w:rsid w:val="7E7E3A2B"/>
    <w:rsid w:val="7E9D7EED"/>
    <w:rsid w:val="7EFE0E9A"/>
    <w:rsid w:val="7F7B81BD"/>
    <w:rsid w:val="7F7F66B1"/>
    <w:rsid w:val="7F87287E"/>
    <w:rsid w:val="7FB662B1"/>
    <w:rsid w:val="7FBB3F2D"/>
    <w:rsid w:val="7FDA8313"/>
    <w:rsid w:val="7FEF20EA"/>
    <w:rsid w:val="7FFDD8F0"/>
    <w:rsid w:val="8FD2F50F"/>
    <w:rsid w:val="96751EBB"/>
    <w:rsid w:val="9BBD8891"/>
    <w:rsid w:val="9DFD69C8"/>
    <w:rsid w:val="AAFF05C5"/>
    <w:rsid w:val="AB7BD1F6"/>
    <w:rsid w:val="ACDB6848"/>
    <w:rsid w:val="B47FE43D"/>
    <w:rsid w:val="B64D70B7"/>
    <w:rsid w:val="B73B8218"/>
    <w:rsid w:val="B7EFD858"/>
    <w:rsid w:val="B9F5A39C"/>
    <w:rsid w:val="BA7B23C6"/>
    <w:rsid w:val="BFFE7321"/>
    <w:rsid w:val="D7F78471"/>
    <w:rsid w:val="D7FD58A8"/>
    <w:rsid w:val="DAF77191"/>
    <w:rsid w:val="DBFEF554"/>
    <w:rsid w:val="DBFF6E93"/>
    <w:rsid w:val="DDFBE909"/>
    <w:rsid w:val="DF771273"/>
    <w:rsid w:val="DFF39CA9"/>
    <w:rsid w:val="DFFC6CF0"/>
    <w:rsid w:val="E3B73167"/>
    <w:rsid w:val="E8F78F56"/>
    <w:rsid w:val="EA57B0F0"/>
    <w:rsid w:val="EAF1CE2C"/>
    <w:rsid w:val="EC1BA8D4"/>
    <w:rsid w:val="EE5C0A24"/>
    <w:rsid w:val="EF76C19F"/>
    <w:rsid w:val="EFBACD8D"/>
    <w:rsid w:val="F6BFA989"/>
    <w:rsid w:val="F77EB1EC"/>
    <w:rsid w:val="F7BBA1CE"/>
    <w:rsid w:val="F7DB901D"/>
    <w:rsid w:val="F7E23639"/>
    <w:rsid w:val="FBB5775F"/>
    <w:rsid w:val="FBCBC1F1"/>
    <w:rsid w:val="FD7882E6"/>
    <w:rsid w:val="FDDBF6B0"/>
    <w:rsid w:val="FDFFE078"/>
    <w:rsid w:val="FE734873"/>
    <w:rsid w:val="FEFDD68E"/>
    <w:rsid w:val="FF553A1B"/>
    <w:rsid w:val="FF6F6DD7"/>
    <w:rsid w:val="FF7782BA"/>
    <w:rsid w:val="FFAFDEB1"/>
    <w:rsid w:val="FFB76717"/>
    <w:rsid w:val="FFBE8A00"/>
    <w:rsid w:val="FFF286F2"/>
    <w:rsid w:val="FFF634DC"/>
    <w:rsid w:val="FFF87FFF"/>
    <w:rsid w:val="FFFD0E53"/>
    <w:rsid w:val="FFFED77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2"/>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3"/>
    <w:qFormat/>
    <w:uiPriority w:val="0"/>
    <w:pPr>
      <w:keepNext/>
      <w:keepLines/>
      <w:spacing w:line="500" w:lineRule="exact"/>
      <w:outlineLvl w:val="2"/>
    </w:pPr>
    <w:rPr>
      <w:rFonts w:ascii="宋体" w:hAnsi="宋体" w:eastAsia="宋体" w:cs="Times New Roman"/>
      <w:b/>
      <w:bCs/>
      <w:sz w:val="24"/>
      <w:szCs w:val="32"/>
    </w:rPr>
  </w:style>
  <w:style w:type="paragraph" w:styleId="5">
    <w:name w:val="heading 4"/>
    <w:basedOn w:val="3"/>
    <w:next w:val="1"/>
    <w:qFormat/>
    <w:uiPriority w:val="0"/>
    <w:pPr>
      <w:keepNext/>
      <w:keepLines/>
      <w:spacing w:before="280" w:after="290" w:line="376" w:lineRule="auto"/>
      <w:outlineLvl w:val="3"/>
    </w:pPr>
    <w:rPr>
      <w:rFonts w:ascii="Calibri Light" w:hAnsi="Calibri Light" w:eastAsia="宋体" w:cs="Times New Roman"/>
      <w:b w:val="0"/>
      <w:bCs w:val="0"/>
      <w:sz w:val="28"/>
      <w:szCs w:val="28"/>
    </w:rPr>
  </w:style>
  <w:style w:type="paragraph" w:styleId="6">
    <w:name w:val="heading 9"/>
    <w:basedOn w:val="1"/>
    <w:next w:val="1"/>
    <w:link w:val="24"/>
    <w:qFormat/>
    <w:uiPriority w:val="0"/>
    <w:pPr>
      <w:keepNext/>
      <w:keepLines/>
      <w:spacing w:before="240" w:after="64" w:line="320" w:lineRule="auto"/>
      <w:outlineLvl w:val="8"/>
    </w:pPr>
    <w:rPr>
      <w:rFonts w:ascii="Cambria" w:hAnsi="Cambria" w:eastAsia="宋体" w:cs="Times New Roman"/>
      <w:szCs w:val="21"/>
    </w:rPr>
  </w:style>
  <w:style w:type="character" w:default="1" w:styleId="18">
    <w:name w:val="Default Paragraph Font"/>
    <w:qFormat/>
    <w:uiPriority w:val="0"/>
  </w:style>
  <w:style w:type="table" w:default="1" w:styleId="17">
    <w:name w:val="Normal Table"/>
    <w:qFormat/>
    <w:uiPriority w:val="0"/>
    <w:tblPr>
      <w:tblCellMar>
        <w:top w:w="0" w:type="dxa"/>
        <w:left w:w="108" w:type="dxa"/>
        <w:bottom w:w="0" w:type="dxa"/>
        <w:right w:w="108" w:type="dxa"/>
      </w:tblCellMar>
    </w:tblPr>
  </w:style>
  <w:style w:type="paragraph" w:styleId="7">
    <w:name w:val="caption"/>
    <w:basedOn w:val="1"/>
    <w:next w:val="1"/>
    <w:link w:val="25"/>
    <w:qFormat/>
    <w:uiPriority w:val="0"/>
    <w:pPr>
      <w:widowControl/>
      <w:spacing w:before="120" w:after="200" w:line="288" w:lineRule="auto"/>
      <w:jc w:val="left"/>
    </w:pPr>
    <w:rPr>
      <w:rFonts w:ascii="Calibri" w:hAnsi="Calibri" w:eastAsia="宋体" w:cs="Times New Roman"/>
      <w:b/>
      <w:bCs/>
      <w:color w:val="4F81BD"/>
      <w:kern w:val="0"/>
      <w:sz w:val="18"/>
      <w:szCs w:val="18"/>
      <w:lang w:val="zh-CN" w:eastAsia="en-US" w:bidi="en-US"/>
    </w:rPr>
  </w:style>
  <w:style w:type="paragraph" w:styleId="8">
    <w:name w:val="Body Text"/>
    <w:basedOn w:val="1"/>
    <w:link w:val="26"/>
    <w:qFormat/>
    <w:uiPriority w:val="0"/>
    <w:pPr>
      <w:autoSpaceDE w:val="0"/>
      <w:autoSpaceDN w:val="0"/>
      <w:adjustRightInd w:val="0"/>
      <w:spacing w:before="66"/>
      <w:ind w:left="118"/>
      <w:jc w:val="left"/>
    </w:pPr>
    <w:rPr>
      <w:rFonts w:ascii="方正仿宋_GBK" w:hAnsi="Times New Roman" w:eastAsia="方正仿宋_GBK" w:cs="方正仿宋_GBK"/>
      <w:kern w:val="0"/>
      <w:sz w:val="32"/>
      <w:szCs w:val="32"/>
    </w:rPr>
  </w:style>
  <w:style w:type="paragraph" w:styleId="9">
    <w:name w:val="toc 3"/>
    <w:basedOn w:val="1"/>
    <w:next w:val="1"/>
    <w:qFormat/>
    <w:uiPriority w:val="0"/>
    <w:pPr>
      <w:ind w:left="840" w:leftChars="400"/>
    </w:pPr>
  </w:style>
  <w:style w:type="paragraph" w:styleId="10">
    <w:name w:val="Balloon Text"/>
    <w:basedOn w:val="1"/>
    <w:link w:val="27"/>
    <w:qFormat/>
    <w:uiPriority w:val="0"/>
    <w:rPr>
      <w:sz w:val="18"/>
      <w:szCs w:val="18"/>
    </w:rPr>
  </w:style>
  <w:style w:type="paragraph" w:styleId="11">
    <w:name w:val="footer"/>
    <w:basedOn w:val="1"/>
    <w:link w:val="28"/>
    <w:qFormat/>
    <w:uiPriority w:val="0"/>
    <w:pPr>
      <w:tabs>
        <w:tab w:val="center" w:pos="4153"/>
        <w:tab w:val="right" w:pos="8306"/>
      </w:tabs>
      <w:snapToGrid w:val="0"/>
      <w:jc w:val="left"/>
    </w:pPr>
    <w:rPr>
      <w:sz w:val="18"/>
      <w:szCs w:val="18"/>
    </w:rPr>
  </w:style>
  <w:style w:type="paragraph" w:styleId="12">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pPr>
      <w:tabs>
        <w:tab w:val="left" w:pos="420"/>
        <w:tab w:val="right" w:leader="dot" w:pos="9016"/>
      </w:tabs>
      <w:adjustRightInd w:val="0"/>
      <w:snapToGrid w:val="0"/>
      <w:spacing w:line="500" w:lineRule="exact"/>
      <w:jc w:val="left"/>
    </w:pPr>
    <w:rPr>
      <w:rFonts w:ascii="宋体" w:hAnsi="宋体"/>
      <w:b/>
      <w:sz w:val="24"/>
      <w:szCs w:val="24"/>
    </w:rPr>
  </w:style>
  <w:style w:type="paragraph" w:styleId="14">
    <w:name w:val="toc 2"/>
    <w:basedOn w:val="1"/>
    <w:next w:val="1"/>
    <w:qFormat/>
    <w:uiPriority w:val="0"/>
    <w:pPr>
      <w:tabs>
        <w:tab w:val="right" w:leader="dot" w:pos="9016"/>
      </w:tabs>
      <w:adjustRightInd w:val="0"/>
      <w:snapToGrid w:val="0"/>
      <w:spacing w:line="520" w:lineRule="exact"/>
      <w:ind w:firstLine="420" w:firstLineChars="200"/>
    </w:pPr>
  </w:style>
  <w:style w:type="paragraph" w:styleId="15">
    <w:name w:val="Normal (Web)"/>
    <w:basedOn w:val="1"/>
    <w:qFormat/>
    <w:uiPriority w:val="0"/>
    <w:pPr>
      <w:widowControl/>
      <w:spacing w:before="100" w:beforeAutospacing="1" w:after="100" w:afterAutospacing="1" w:line="360" w:lineRule="auto"/>
      <w:ind w:firstLine="200" w:firstLineChars="200"/>
      <w:jc w:val="left"/>
    </w:pPr>
    <w:rPr>
      <w:rFonts w:ascii="宋体" w:hAnsi="宋体" w:eastAsia="仿宋" w:cs="宋体"/>
      <w:kern w:val="0"/>
      <w:sz w:val="28"/>
      <w:szCs w:val="24"/>
    </w:rPr>
  </w:style>
  <w:style w:type="paragraph" w:styleId="16">
    <w:name w:val="Title"/>
    <w:basedOn w:val="1"/>
    <w:next w:val="1"/>
    <w:link w:val="30"/>
    <w:qFormat/>
    <w:uiPriority w:val="0"/>
    <w:pPr>
      <w:spacing w:line="500" w:lineRule="exact"/>
      <w:jc w:val="center"/>
      <w:outlineLvl w:val="0"/>
    </w:pPr>
    <w:rPr>
      <w:rFonts w:ascii="宋体" w:hAnsi="宋体" w:eastAsia="宋体" w:cs="Times New Roman"/>
      <w:b/>
      <w:bCs/>
      <w:sz w:val="30"/>
      <w:szCs w:val="32"/>
    </w:rPr>
  </w:style>
  <w:style w:type="character" w:styleId="19">
    <w:name w:val="page number"/>
    <w:basedOn w:val="18"/>
    <w:qFormat/>
    <w:uiPriority w:val="0"/>
    <w:rPr>
      <w:rFonts w:ascii="Times New Roman" w:hAnsi="Times New Roman" w:eastAsia="宋体" w:cs="Times New Roman"/>
    </w:rPr>
  </w:style>
  <w:style w:type="character" w:styleId="20">
    <w:name w:val="Hyperlink"/>
    <w:basedOn w:val="18"/>
    <w:qFormat/>
    <w:uiPriority w:val="0"/>
    <w:rPr>
      <w:color w:val="0000FF"/>
      <w:u w:val="single"/>
    </w:rPr>
  </w:style>
  <w:style w:type="character" w:customStyle="1" w:styleId="21">
    <w:name w:val="标题 1 Char"/>
    <w:basedOn w:val="18"/>
    <w:link w:val="2"/>
    <w:qFormat/>
    <w:uiPriority w:val="9"/>
    <w:rPr>
      <w:b/>
      <w:bCs/>
      <w:kern w:val="44"/>
      <w:sz w:val="44"/>
      <w:szCs w:val="44"/>
    </w:rPr>
  </w:style>
  <w:style w:type="character" w:customStyle="1" w:styleId="22">
    <w:name w:val="标题 2 Char"/>
    <w:basedOn w:val="18"/>
    <w:link w:val="3"/>
    <w:qFormat/>
    <w:uiPriority w:val="9"/>
    <w:rPr>
      <w:rFonts w:ascii="Cambria" w:hAnsi="Cambria" w:eastAsia="宋体" w:cs="Times New Roman"/>
      <w:b/>
      <w:bCs/>
      <w:sz w:val="32"/>
      <w:szCs w:val="32"/>
    </w:rPr>
  </w:style>
  <w:style w:type="character" w:customStyle="1" w:styleId="23">
    <w:name w:val="标题 3 Char"/>
    <w:basedOn w:val="18"/>
    <w:link w:val="4"/>
    <w:qFormat/>
    <w:uiPriority w:val="0"/>
    <w:rPr>
      <w:rFonts w:ascii="宋体" w:hAnsi="宋体" w:eastAsia="宋体" w:cs="Times New Roman"/>
      <w:b/>
      <w:bCs/>
      <w:sz w:val="24"/>
      <w:szCs w:val="32"/>
    </w:rPr>
  </w:style>
  <w:style w:type="character" w:customStyle="1" w:styleId="24">
    <w:name w:val="标题 9 Char"/>
    <w:basedOn w:val="18"/>
    <w:link w:val="6"/>
    <w:qFormat/>
    <w:uiPriority w:val="0"/>
    <w:rPr>
      <w:rFonts w:ascii="Cambria" w:hAnsi="Cambria" w:eastAsia="宋体" w:cs="Times New Roman"/>
      <w:szCs w:val="21"/>
    </w:rPr>
  </w:style>
  <w:style w:type="character" w:customStyle="1" w:styleId="25">
    <w:name w:val="题注 Char"/>
    <w:link w:val="7"/>
    <w:qFormat/>
    <w:uiPriority w:val="35"/>
    <w:rPr>
      <w:rFonts w:ascii="Calibri" w:hAnsi="Calibri" w:eastAsia="宋体" w:cs="Times New Roman"/>
      <w:b/>
      <w:bCs/>
      <w:color w:val="4F81BD"/>
      <w:kern w:val="0"/>
      <w:sz w:val="18"/>
      <w:szCs w:val="18"/>
      <w:lang w:val="zh-CN" w:eastAsia="en-US" w:bidi="en-US"/>
    </w:rPr>
  </w:style>
  <w:style w:type="character" w:customStyle="1" w:styleId="26">
    <w:name w:val="正文文本 Char"/>
    <w:basedOn w:val="18"/>
    <w:link w:val="8"/>
    <w:qFormat/>
    <w:uiPriority w:val="99"/>
    <w:rPr>
      <w:rFonts w:ascii="方正仿宋_GBK" w:hAnsi="Times New Roman" w:eastAsia="方正仿宋_GBK" w:cs="方正仿宋_GBK"/>
      <w:sz w:val="32"/>
      <w:szCs w:val="32"/>
    </w:rPr>
  </w:style>
  <w:style w:type="character" w:customStyle="1" w:styleId="27">
    <w:name w:val="批注框文本 Char"/>
    <w:basedOn w:val="18"/>
    <w:link w:val="10"/>
    <w:semiHidden/>
    <w:qFormat/>
    <w:uiPriority w:val="99"/>
    <w:rPr>
      <w:sz w:val="18"/>
      <w:szCs w:val="18"/>
    </w:rPr>
  </w:style>
  <w:style w:type="character" w:customStyle="1" w:styleId="28">
    <w:name w:val="页脚 Char"/>
    <w:basedOn w:val="18"/>
    <w:link w:val="11"/>
    <w:qFormat/>
    <w:uiPriority w:val="99"/>
    <w:rPr>
      <w:sz w:val="18"/>
      <w:szCs w:val="18"/>
    </w:rPr>
  </w:style>
  <w:style w:type="character" w:customStyle="1" w:styleId="29">
    <w:name w:val="页眉 Char"/>
    <w:basedOn w:val="18"/>
    <w:link w:val="12"/>
    <w:qFormat/>
    <w:uiPriority w:val="99"/>
    <w:rPr>
      <w:sz w:val="18"/>
      <w:szCs w:val="18"/>
    </w:rPr>
  </w:style>
  <w:style w:type="character" w:customStyle="1" w:styleId="30">
    <w:name w:val="标题 Char"/>
    <w:basedOn w:val="18"/>
    <w:link w:val="16"/>
    <w:qFormat/>
    <w:uiPriority w:val="0"/>
    <w:rPr>
      <w:rFonts w:ascii="宋体" w:hAnsi="宋体" w:eastAsia="宋体" w:cs="Times New Roman"/>
      <w:b/>
      <w:bCs/>
      <w:sz w:val="30"/>
      <w:szCs w:val="32"/>
    </w:rPr>
  </w:style>
  <w:style w:type="paragraph" w:customStyle="1" w:styleId="31">
    <w:name w:val="5555"/>
    <w:basedOn w:val="1"/>
    <w:qFormat/>
    <w:uiPriority w:val="0"/>
    <w:pPr>
      <w:spacing w:line="360" w:lineRule="auto"/>
      <w:ind w:firstLine="560" w:firstLineChars="200"/>
    </w:pPr>
    <w:rPr>
      <w:rFonts w:ascii="Times New Roman" w:hAnsi="Times New Roman" w:eastAsia="宋体" w:cs="宋体"/>
      <w:sz w:val="24"/>
      <w:szCs w:val="20"/>
    </w:rPr>
  </w:style>
  <w:style w:type="paragraph" w:customStyle="1" w:styleId="32">
    <w:name w:val="列出段落1"/>
    <w:basedOn w:val="1"/>
    <w:link w:val="33"/>
    <w:qFormat/>
    <w:uiPriority w:val="0"/>
    <w:pPr>
      <w:ind w:firstLine="420" w:firstLineChars="200"/>
    </w:pPr>
    <w:rPr>
      <w:rFonts w:ascii="Calibri" w:hAnsi="Calibri" w:eastAsia="宋体" w:cs="Times New Roman"/>
    </w:rPr>
  </w:style>
  <w:style w:type="character" w:customStyle="1" w:styleId="33">
    <w:name w:val="列出段落 Char"/>
    <w:link w:val="32"/>
    <w:qFormat/>
    <w:uiPriority w:val="0"/>
    <w:rPr>
      <w:rFonts w:ascii="Calibri" w:hAnsi="Calibri" w:eastAsia="宋体" w:cs="Times New Roman"/>
    </w:rPr>
  </w:style>
  <w:style w:type="paragraph" w:customStyle="1" w:styleId="34">
    <w:name w:val="样式 样式 样式 样式 普通(Web) + 首行缩进:  2 字符 段前: 0.3 行 段后: 0.2 行 + 首行缩进:  2..."/>
    <w:basedOn w:val="1"/>
    <w:qFormat/>
    <w:uiPriority w:val="0"/>
    <w:pPr>
      <w:widowControl/>
      <w:spacing w:before="30" w:beforeLines="30" w:after="20" w:afterLines="20" w:line="432" w:lineRule="auto"/>
      <w:ind w:firstLine="200" w:firstLineChars="200"/>
      <w:jc w:val="left"/>
    </w:pPr>
    <w:rPr>
      <w:rFonts w:ascii="宋体" w:hAnsi="宋体" w:eastAsia="宋体" w:cs="宋体"/>
      <w:kern w:val="0"/>
      <w:sz w:val="28"/>
      <w:szCs w:val="20"/>
    </w:rPr>
  </w:style>
  <w:style w:type="paragraph" w:customStyle="1" w:styleId="35">
    <w:name w:val="样式 图名 + 段前: 0.3 行 段后: 0.2 行 行距: 单倍行距"/>
    <w:basedOn w:val="1"/>
    <w:qFormat/>
    <w:uiPriority w:val="0"/>
    <w:pPr>
      <w:widowControl/>
      <w:spacing w:before="93" w:beforeLines="30" w:after="62" w:afterLines="20"/>
      <w:jc w:val="center"/>
    </w:pPr>
    <w:rPr>
      <w:rFonts w:ascii="Times New Roman" w:hAnsi="宋体" w:eastAsia="宋体" w:cs="宋体"/>
      <w:b/>
      <w:bCs/>
      <w:kern w:val="0"/>
      <w:sz w:val="24"/>
      <w:szCs w:val="20"/>
    </w:rPr>
  </w:style>
  <w:style w:type="character" w:customStyle="1" w:styleId="36">
    <w:name w:val="表格 Char Char"/>
    <w:link w:val="37"/>
    <w:qFormat/>
    <w:uiPriority w:val="0"/>
    <w:rPr>
      <w:color w:val="000000"/>
      <w:sz w:val="18"/>
      <w:szCs w:val="21"/>
    </w:rPr>
  </w:style>
  <w:style w:type="paragraph" w:customStyle="1" w:styleId="37">
    <w:name w:val="表格"/>
    <w:next w:val="1"/>
    <w:link w:val="36"/>
    <w:qFormat/>
    <w:uiPriority w:val="0"/>
    <w:pPr>
      <w:autoSpaceDE w:val="0"/>
      <w:autoSpaceDN w:val="0"/>
      <w:ind w:left="-792" w:leftChars="-377" w:firstLine="679" w:firstLineChars="377"/>
      <w:jc w:val="center"/>
      <w:textAlignment w:val="center"/>
    </w:pPr>
    <w:rPr>
      <w:rFonts w:ascii="Calibri" w:hAnsi="Calibri" w:eastAsia="宋体" w:cs="Times New Roman"/>
      <w:color w:val="000000"/>
      <w:kern w:val="2"/>
      <w:sz w:val="18"/>
      <w:szCs w:val="21"/>
      <w:lang w:val="en-US" w:eastAsia="zh-CN" w:bidi="ar-SA"/>
    </w:rPr>
  </w:style>
  <w:style w:type="paragraph" w:customStyle="1" w:styleId="38">
    <w:name w:val="Table Paragraph"/>
    <w:basedOn w:val="1"/>
    <w:qFormat/>
    <w:uiPriority w:val="1"/>
    <w:pPr>
      <w:autoSpaceDE w:val="0"/>
      <w:autoSpaceDN w:val="0"/>
      <w:adjustRightInd w:val="0"/>
      <w:jc w:val="left"/>
    </w:pPr>
    <w:rPr>
      <w:rFonts w:ascii="Times New Roman" w:hAnsi="Times New Roman"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104</Pages>
  <Words>9184</Words>
  <Characters>52353</Characters>
  <Lines>436</Lines>
  <Paragraphs>122</Paragraphs>
  <TotalTime>12</TotalTime>
  <ScaleCrop>false</ScaleCrop>
  <LinksUpToDate>false</LinksUpToDate>
  <CharactersWithSpaces>61415</CharactersWithSpaces>
  <Application>WPS Office_11.8.2.10587_F1E327BC-269C-435d-A152-05C5408002CA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2021-06-16T07:23:00Z</dcterms:created>
  <dc:creator>Admin001</dc:creator>
  <cp:lastModifiedBy> </cp:lastModifiedBy>
  <cp:lastPrinted>2022-04-29T10:31:00Z</cp:lastPrinted>
  <dcterms:modified xsi:type="dcterms:W3CDTF">2024-09-27T17:02:18Z</dcterms:modified>
  <dc:title>重庆市永川区人民政府办公室</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2052-11.8.2.10587</vt:lpwstr>
  </property>
  <property fmtid="{D5CDD505-2E9C-101B-9397-08002B2CF9AE}" pid="3" name="ICV">
    <vt:lpwstr>678DE374FE314B798C22F4FB0DB62221</vt:lpwstr>
  </property>
</Properties>
</file>