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10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</w:rPr>
        <w:t>,规模以上工业企业</w:t>
      </w:r>
      <w:r>
        <w:rPr>
          <w:rFonts w:hint="eastAsia"/>
          <w:lang w:val="en-US" w:eastAsia="zh-CN"/>
        </w:rPr>
        <w:t>352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1410.4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10.2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全区限额以上法人企业和个体户社会消费品零售总额139.5亿元，同比增长</w:t>
      </w:r>
      <w:r>
        <w:rPr>
          <w:rFonts w:hint="eastAsia"/>
          <w:lang w:val="en-US" w:eastAsia="zh-CN"/>
        </w:rPr>
        <w:t>14.0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bookmarkStart w:id="0" w:name="_GoBack"/>
      <w:bookmarkEnd w:id="0"/>
      <w:r>
        <w:rPr>
          <w:rFonts w:hint="eastAsia"/>
        </w:rPr>
        <w:t>三、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11.2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375.6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13.5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14.5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7.9</w:t>
      </w:r>
      <w:r>
        <w:rPr>
          <w:rFonts w:hint="eastAsia"/>
        </w:rPr>
        <w:t>%。其中：房地产投资同比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4.5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44.7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24.2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80.8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18.9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A9A6B7F"/>
    <w:rsid w:val="0B8415DD"/>
    <w:rsid w:val="0E8754A7"/>
    <w:rsid w:val="148D2DAB"/>
    <w:rsid w:val="14BE790E"/>
    <w:rsid w:val="248024EA"/>
    <w:rsid w:val="2B6724EB"/>
    <w:rsid w:val="42C3008C"/>
    <w:rsid w:val="44113815"/>
    <w:rsid w:val="4EAF55F6"/>
    <w:rsid w:val="580C1D0B"/>
    <w:rsid w:val="5F5D4E78"/>
    <w:rsid w:val="62CF595E"/>
    <w:rsid w:val="661474F6"/>
    <w:rsid w:val="6BFD1C3F"/>
    <w:rsid w:val="70C54945"/>
    <w:rsid w:val="77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523</Characters>
  <Lines>3</Lines>
  <Paragraphs>1</Paragraphs>
  <TotalTime>11</TotalTime>
  <ScaleCrop>false</ScaleCrop>
  <LinksUpToDate>false</LinksUpToDate>
  <CharactersWithSpaces>531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2023-04-06T02:36:00Z</cp:lastPrinted>
  <dcterms:modified xsi:type="dcterms:W3CDTF">2023-11-24T01:10:23Z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6806E344A00A4D0188831FCF1DD47089_12</vt:lpwstr>
  </property>
</Properties>
</file>