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szCs w:val="32"/>
        </w:rPr>
      </w:pPr>
    </w:p>
    <w:p>
      <w:pPr>
        <w:snapToGrid w:val="0"/>
        <w:spacing w:line="276" w:lineRule="auto"/>
        <w:jc w:val="both"/>
        <w:rPr>
          <w:rFonts w:eastAsia="方正小标宋_GBK"/>
          <w:b/>
          <w:bCs/>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eastAsia="方正小标宋_GBK"/>
          <w:sz w:val="44"/>
          <w:szCs w:val="44"/>
        </w:rPr>
      </w:pPr>
      <w:r>
        <w:rPr>
          <w:rFonts w:hint="eastAsia" w:eastAsia="方正小标宋_GBK"/>
          <w:sz w:val="44"/>
          <w:szCs w:val="44"/>
        </w:rPr>
        <w:t>重庆市永川区人民政府办公室</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eastAsia="方正小标宋_GBK"/>
          <w:sz w:val="44"/>
          <w:szCs w:val="44"/>
        </w:rPr>
      </w:pPr>
      <w:bookmarkStart w:id="0" w:name="_GoBack"/>
      <w:r>
        <w:rPr>
          <w:rFonts w:hint="eastAsia" w:eastAsia="方正小标宋_GBK"/>
          <w:sz w:val="44"/>
          <w:szCs w:val="44"/>
        </w:rPr>
        <w:t>关于印发永川区城乡生活污水处理厂（站）</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eastAsia="方正小标宋_GBK"/>
          <w:sz w:val="44"/>
          <w:szCs w:val="44"/>
        </w:rPr>
      </w:pPr>
      <w:r>
        <w:rPr>
          <w:rFonts w:hint="eastAsia" w:eastAsia="方正小标宋_GBK"/>
          <w:sz w:val="44"/>
          <w:szCs w:val="44"/>
        </w:rPr>
        <w:t>排放监督管理办法（试行）、永川区城镇排水</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eastAsia="方正小标宋_GBK"/>
          <w:sz w:val="44"/>
          <w:szCs w:val="44"/>
        </w:rPr>
      </w:pPr>
      <w:r>
        <w:rPr>
          <w:rFonts w:hint="eastAsia" w:eastAsia="方正小标宋_GBK"/>
          <w:sz w:val="44"/>
          <w:szCs w:val="44"/>
        </w:rPr>
        <w:t>与污水处理设施管理办法（试行）、永川区</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eastAsia="方正小标宋_GBK"/>
          <w:b/>
          <w:bCs/>
          <w:sz w:val="44"/>
          <w:szCs w:val="44"/>
        </w:rPr>
      </w:pPr>
      <w:r>
        <w:rPr>
          <w:rFonts w:hint="eastAsia" w:eastAsia="方正小标宋_GBK"/>
          <w:sz w:val="44"/>
          <w:szCs w:val="44"/>
        </w:rPr>
        <w:t>城镇化粪池长效管理办法（试行）的通知</w:t>
      </w:r>
    </w:p>
    <w:bookmarkEnd w:id="0"/>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永川府办发〔</w:t>
      </w:r>
      <w:r>
        <w:rPr>
          <w:rFonts w:hint="default" w:ascii="Times New Roman" w:hAnsi="Times New Roman" w:eastAsia="方正仿宋_GBK" w:cs="Times New Roman"/>
          <w:sz w:val="32"/>
          <w:szCs w:val="32"/>
        </w:rPr>
        <w:t>2019</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106</w:t>
      </w:r>
      <w:r>
        <w:rPr>
          <w:rFonts w:hint="eastAsia" w:ascii="方正仿宋_GBK" w:hAnsi="方正仿宋_GBK" w:eastAsia="方正仿宋_GBK" w:cs="方正仿宋_GBK"/>
          <w:sz w:val="32"/>
          <w:szCs w:val="32"/>
        </w:rPr>
        <w:t>号</w:t>
      </w:r>
    </w:p>
    <w:p>
      <w:pPr>
        <w:snapToGrid w:val="0"/>
        <w:spacing w:line="300" w:lineRule="auto"/>
        <w:rPr>
          <w:rFonts w:eastAsia="方正仿宋_GBK"/>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eastAsia="方正仿宋_GBK"/>
          <w:color w:val="000000"/>
          <w:sz w:val="32"/>
          <w:szCs w:val="32"/>
        </w:rPr>
      </w:pPr>
      <w:r>
        <w:rPr>
          <w:rFonts w:hint="eastAsia" w:eastAsia="方正仿宋_GBK"/>
          <w:color w:val="000000"/>
          <w:sz w:val="32"/>
          <w:szCs w:val="32"/>
        </w:rPr>
        <w:t>各镇人民政府、街道办事处，区政府有关部门、有关单位：</w:t>
      </w: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eastAsia="方正仿宋_GBK"/>
          <w:color w:val="000000"/>
          <w:sz w:val="32"/>
          <w:szCs w:val="32"/>
        </w:rPr>
      </w:pPr>
      <w:r>
        <w:rPr>
          <w:rFonts w:hint="eastAsia" w:eastAsia="方正仿宋_GBK"/>
          <w:color w:val="000000"/>
          <w:sz w:val="32"/>
          <w:szCs w:val="32"/>
        </w:rPr>
        <w:t>《永川区城乡生活污水处理厂（站）排放监督管理办法（试行）》《永川区城镇排水与污水处理设施管理办法（试行）》《永川区城镇化粪池长效管理办法（试行）》已经区政府同意，现印发给你们，请认真贯彻执行。</w:t>
      </w: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eastAsia="方正仿宋_GBK"/>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eastAsia="方正仿宋_GBK"/>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4160" w:firstLineChars="1300"/>
        <w:textAlignment w:val="auto"/>
        <w:rPr>
          <w:rFonts w:eastAsia="方正仿宋_GBK"/>
          <w:color w:val="000000"/>
          <w:sz w:val="32"/>
          <w:szCs w:val="32"/>
        </w:rPr>
      </w:pPr>
      <w:r>
        <w:rPr>
          <w:rFonts w:hint="eastAsia" w:eastAsia="方正仿宋_GBK"/>
          <w:color w:val="000000"/>
          <w:sz w:val="32"/>
          <w:szCs w:val="32"/>
        </w:rPr>
        <w:t>重庆市永川区人民政府办公室</w:t>
      </w:r>
    </w:p>
    <w:p>
      <w:pPr>
        <w:keepNext w:val="0"/>
        <w:keepLines w:val="0"/>
        <w:pageBreakBefore w:val="0"/>
        <w:widowControl w:val="0"/>
        <w:kinsoku/>
        <w:wordWrap/>
        <w:overflowPunct/>
        <w:topLinePunct w:val="0"/>
        <w:autoSpaceDE/>
        <w:autoSpaceDN/>
        <w:bidi w:val="0"/>
        <w:adjustRightInd/>
        <w:snapToGrid w:val="0"/>
        <w:spacing w:line="600" w:lineRule="exact"/>
        <w:ind w:firstLine="5120" w:firstLineChars="1600"/>
        <w:textAlignment w:val="auto"/>
        <w:rPr>
          <w:rFonts w:eastAsia="方正仿宋_GBK"/>
          <w:color w:val="000000"/>
          <w:sz w:val="32"/>
          <w:szCs w:val="32"/>
        </w:rPr>
      </w:pPr>
      <w:r>
        <w:rPr>
          <w:rFonts w:eastAsia="方正仿宋_GBK"/>
          <w:color w:val="000000"/>
          <w:sz w:val="32"/>
          <w:szCs w:val="32"/>
        </w:rPr>
        <w:t>2019</w:t>
      </w:r>
      <w:r>
        <w:rPr>
          <w:rFonts w:hint="eastAsia" w:eastAsia="方正仿宋_GBK"/>
          <w:color w:val="000000"/>
          <w:sz w:val="32"/>
          <w:szCs w:val="32"/>
        </w:rPr>
        <w:t>年</w:t>
      </w:r>
      <w:r>
        <w:rPr>
          <w:rFonts w:eastAsia="方正仿宋_GBK"/>
          <w:color w:val="000000"/>
          <w:sz w:val="32"/>
          <w:szCs w:val="32"/>
        </w:rPr>
        <w:t>9</w:t>
      </w:r>
      <w:r>
        <w:rPr>
          <w:rFonts w:hint="eastAsia" w:eastAsia="方正仿宋_GBK"/>
          <w:color w:val="000000"/>
          <w:sz w:val="32"/>
          <w:szCs w:val="32"/>
        </w:rPr>
        <w:t>月</w:t>
      </w:r>
      <w:r>
        <w:rPr>
          <w:rFonts w:eastAsia="方正仿宋_GBK"/>
          <w:color w:val="000000"/>
          <w:sz w:val="32"/>
          <w:szCs w:val="32"/>
        </w:rPr>
        <w:t>9</w:t>
      </w:r>
      <w:r>
        <w:rPr>
          <w:rFonts w:hint="eastAsia" w:eastAsia="方正仿宋_GBK"/>
          <w:color w:val="000000"/>
          <w:sz w:val="32"/>
          <w:szCs w:val="32"/>
        </w:rPr>
        <w:t>日</w:t>
      </w:r>
    </w:p>
    <w:p>
      <w:pPr>
        <w:snapToGrid w:val="0"/>
        <w:jc w:val="center"/>
        <w:rPr>
          <w:rFonts w:eastAsia="方正仿宋_GBK"/>
          <w:color w:val="000000"/>
          <w:sz w:val="32"/>
          <w:szCs w:val="32"/>
        </w:rPr>
      </w:pPr>
    </w:p>
    <w:p>
      <w:pPr>
        <w:bidi w:val="0"/>
        <w:rPr>
          <w:rFonts w:eastAsia="方正仿宋_GBK"/>
          <w:color w:val="000000"/>
          <w:sz w:val="32"/>
          <w:szCs w:val="32"/>
        </w:rPr>
      </w:pPr>
    </w:p>
    <w:p>
      <w:pPr>
        <w:bidi w:val="0"/>
        <w:rPr>
          <w:rFonts w:eastAsia="方正仿宋_GBK"/>
          <w:color w:val="000000"/>
          <w:sz w:val="32"/>
          <w:szCs w:val="32"/>
        </w:rPr>
      </w:pPr>
    </w:p>
    <w:p>
      <w:pPr>
        <w:bidi w:val="0"/>
        <w:rPr>
          <w:rFonts w:eastAsia="方正仿宋_GBK"/>
          <w:color w:val="000000"/>
          <w:sz w:val="32"/>
          <w:szCs w:val="32"/>
        </w:rPr>
      </w:pPr>
    </w:p>
    <w:p>
      <w:pPr>
        <w:bidi w:val="0"/>
        <w:rPr>
          <w:rFonts w:eastAsia="方正仿宋_GBK"/>
          <w:color w:val="000000"/>
          <w:sz w:val="32"/>
          <w:szCs w:val="32"/>
        </w:rPr>
      </w:pPr>
    </w:p>
    <w:p>
      <w:pPr>
        <w:bidi w:val="0"/>
        <w:rPr>
          <w:rFonts w:eastAsia="方正仿宋_GBK"/>
          <w:color w:val="000000"/>
          <w:sz w:val="32"/>
          <w:szCs w:val="32"/>
        </w:rPr>
      </w:pPr>
    </w:p>
    <w:p>
      <w:pPr>
        <w:bidi w:val="0"/>
        <w:jc w:val="left"/>
        <w:rPr>
          <w:rFonts w:eastAsia="方正小标宋_GBK"/>
          <w:sz w:val="44"/>
          <w:szCs w:val="44"/>
        </w:rPr>
      </w:pPr>
      <w:r>
        <w:rPr>
          <w:rFonts w:eastAsia="方正仿宋_GBK"/>
          <w:color w:val="000000"/>
          <w:sz w:val="32"/>
          <w:szCs w:val="32"/>
        </w:rPr>
        <w:br w:type="page"/>
      </w:r>
      <w:r>
        <w:rPr>
          <w:rFonts w:hint="eastAsia" w:eastAsia="方正小标宋_GBK"/>
          <w:sz w:val="44"/>
          <w:szCs w:val="44"/>
        </w:rPr>
        <w:t>永川区城乡生活污水处理厂（站）排放</w:t>
      </w:r>
    </w:p>
    <w:p>
      <w:pPr>
        <w:snapToGrid w:val="0"/>
        <w:jc w:val="center"/>
      </w:pPr>
      <w:r>
        <w:rPr>
          <w:rFonts w:hint="eastAsia" w:eastAsia="方正小标宋_GBK"/>
          <w:sz w:val="44"/>
          <w:szCs w:val="44"/>
        </w:rPr>
        <w:t>监督管理办法（试行）</w:t>
      </w:r>
    </w:p>
    <w:p>
      <w:pPr>
        <w:snapToGrid w:val="0"/>
        <w:spacing w:line="276" w:lineRule="auto"/>
        <w:ind w:firstLine="641"/>
        <w:rPr>
          <w:rFonts w:eastAsia="方正仿宋_GBK"/>
          <w:color w:val="000000"/>
          <w:sz w:val="32"/>
          <w:szCs w:val="32"/>
        </w:rPr>
      </w:pPr>
    </w:p>
    <w:p>
      <w:pPr>
        <w:keepNext w:val="0"/>
        <w:keepLines w:val="0"/>
        <w:pageBreakBefore w:val="0"/>
        <w:widowControl w:val="0"/>
        <w:kinsoku/>
        <w:wordWrap/>
        <w:overflowPunct/>
        <w:topLinePunct w:val="0"/>
        <w:autoSpaceDE/>
        <w:autoSpaceDN/>
        <w:bidi w:val="0"/>
        <w:snapToGrid w:val="0"/>
        <w:spacing w:line="600" w:lineRule="exact"/>
        <w:ind w:firstLine="641"/>
        <w:textAlignment w:val="auto"/>
        <w:rPr>
          <w:rFonts w:eastAsia="方正仿宋_GBK"/>
          <w:color w:val="000000"/>
          <w:sz w:val="32"/>
          <w:szCs w:val="32"/>
        </w:rPr>
      </w:pPr>
      <w:r>
        <w:rPr>
          <w:rFonts w:hint="eastAsia" w:ascii="方正黑体_GBK" w:hAnsi="方正黑体_GBK" w:eastAsia="方正黑体_GBK" w:cs="方正黑体_GBK"/>
          <w:color w:val="000000"/>
          <w:sz w:val="32"/>
          <w:szCs w:val="32"/>
        </w:rPr>
        <w:t>第一条</w:t>
      </w:r>
      <w:r>
        <w:rPr>
          <w:rFonts w:eastAsia="方正仿宋_GBK"/>
          <w:color w:val="000000"/>
          <w:sz w:val="32"/>
          <w:szCs w:val="32"/>
        </w:rPr>
        <w:t xml:space="preserve">  </w:t>
      </w:r>
      <w:r>
        <w:rPr>
          <w:rFonts w:hint="eastAsia" w:eastAsia="方正仿宋_GBK"/>
          <w:color w:val="000000"/>
          <w:sz w:val="32"/>
          <w:szCs w:val="32"/>
        </w:rPr>
        <w:t>为进一步加强我区城乡生活污水处理厂（站）的监督管理，充分发挥其环境效益，改善水环境质量，根据《中华人民共和国水污染防治法》《城镇排水与污水处理条例》（国务院令第</w:t>
      </w:r>
      <w:r>
        <w:rPr>
          <w:rFonts w:eastAsia="方正仿宋_GBK"/>
          <w:color w:val="000000"/>
          <w:sz w:val="32"/>
          <w:szCs w:val="32"/>
        </w:rPr>
        <w:t>641</w:t>
      </w:r>
      <w:r>
        <w:rPr>
          <w:rFonts w:hint="eastAsia" w:eastAsia="方正仿宋_GBK"/>
          <w:color w:val="000000"/>
          <w:sz w:val="32"/>
          <w:szCs w:val="32"/>
        </w:rPr>
        <w:t>号）《重庆市环境保护条例》等法律法规，结合我区实际，制定本办法。</w:t>
      </w:r>
    </w:p>
    <w:p>
      <w:pPr>
        <w:keepNext w:val="0"/>
        <w:keepLines w:val="0"/>
        <w:pageBreakBefore w:val="0"/>
        <w:widowControl w:val="0"/>
        <w:kinsoku/>
        <w:wordWrap/>
        <w:overflowPunct/>
        <w:topLinePunct w:val="0"/>
        <w:autoSpaceDE/>
        <w:autoSpaceDN/>
        <w:bidi w:val="0"/>
        <w:snapToGrid w:val="0"/>
        <w:spacing w:line="600" w:lineRule="exact"/>
        <w:ind w:firstLine="641"/>
        <w:textAlignment w:val="auto"/>
        <w:rPr>
          <w:rFonts w:eastAsia="方正仿宋_GBK"/>
          <w:color w:val="000000"/>
          <w:sz w:val="32"/>
          <w:szCs w:val="32"/>
        </w:rPr>
      </w:pPr>
      <w:r>
        <w:rPr>
          <w:rFonts w:hint="eastAsia" w:ascii="方正黑体_GBK" w:hAnsi="方正黑体_GBK" w:eastAsia="方正黑体_GBK" w:cs="方正黑体_GBK"/>
          <w:color w:val="000000"/>
          <w:sz w:val="32"/>
          <w:szCs w:val="32"/>
        </w:rPr>
        <w:t>第二条</w:t>
      </w:r>
      <w:r>
        <w:rPr>
          <w:rFonts w:eastAsia="方正仿宋_GBK"/>
          <w:color w:val="000000"/>
          <w:sz w:val="32"/>
          <w:szCs w:val="32"/>
        </w:rPr>
        <w:t xml:space="preserve">  </w:t>
      </w:r>
      <w:r>
        <w:rPr>
          <w:rFonts w:hint="eastAsia" w:eastAsia="方正仿宋_GBK"/>
          <w:color w:val="000000"/>
          <w:sz w:val="32"/>
          <w:szCs w:val="32"/>
        </w:rPr>
        <w:t>本办法适用于永川区范围内的城市、镇街以及农村生活污水处理厂（站）的运营和监督管理。</w:t>
      </w:r>
    </w:p>
    <w:p>
      <w:pPr>
        <w:keepNext w:val="0"/>
        <w:keepLines w:val="0"/>
        <w:pageBreakBefore w:val="0"/>
        <w:widowControl w:val="0"/>
        <w:kinsoku/>
        <w:wordWrap/>
        <w:overflowPunct/>
        <w:topLinePunct w:val="0"/>
        <w:autoSpaceDE/>
        <w:autoSpaceDN/>
        <w:bidi w:val="0"/>
        <w:snapToGrid w:val="0"/>
        <w:spacing w:line="600" w:lineRule="exact"/>
        <w:ind w:firstLine="641"/>
        <w:textAlignment w:val="auto"/>
        <w:rPr>
          <w:rFonts w:eastAsia="方正仿宋_GBK"/>
          <w:color w:val="000000"/>
          <w:sz w:val="32"/>
          <w:szCs w:val="32"/>
        </w:rPr>
      </w:pPr>
      <w:r>
        <w:rPr>
          <w:rFonts w:hint="eastAsia" w:eastAsia="方正仿宋_GBK"/>
          <w:color w:val="000000"/>
          <w:sz w:val="32"/>
          <w:szCs w:val="32"/>
        </w:rPr>
        <w:t>全区城乡生活污水处理厂（站）运营单位（以下称运营单位）是指依法取得城镇污水处理运营资格，并对生活污水处理厂（站）进行生产运营管理且具有独立法人资格的单位。</w:t>
      </w:r>
    </w:p>
    <w:p>
      <w:pPr>
        <w:keepNext w:val="0"/>
        <w:keepLines w:val="0"/>
        <w:pageBreakBefore w:val="0"/>
        <w:widowControl w:val="0"/>
        <w:kinsoku/>
        <w:wordWrap/>
        <w:overflowPunct/>
        <w:topLinePunct w:val="0"/>
        <w:autoSpaceDE/>
        <w:autoSpaceDN/>
        <w:bidi w:val="0"/>
        <w:snapToGrid w:val="0"/>
        <w:spacing w:line="600" w:lineRule="exact"/>
        <w:ind w:firstLine="641"/>
        <w:textAlignment w:val="auto"/>
        <w:rPr>
          <w:rFonts w:eastAsia="方正仿宋_GBK"/>
          <w:color w:val="000000"/>
          <w:sz w:val="32"/>
          <w:szCs w:val="32"/>
        </w:rPr>
      </w:pPr>
      <w:r>
        <w:rPr>
          <w:rFonts w:hint="eastAsia" w:ascii="方正黑体_GBK" w:hAnsi="方正黑体_GBK" w:eastAsia="方正黑体_GBK" w:cs="方正黑体_GBK"/>
          <w:color w:val="000000"/>
          <w:sz w:val="32"/>
          <w:szCs w:val="32"/>
        </w:rPr>
        <w:t>第三条</w:t>
      </w:r>
      <w:r>
        <w:rPr>
          <w:rFonts w:eastAsia="方正仿宋_GBK"/>
          <w:color w:val="000000"/>
          <w:sz w:val="32"/>
          <w:szCs w:val="32"/>
        </w:rPr>
        <w:t xml:space="preserve">  </w:t>
      </w:r>
      <w:r>
        <w:rPr>
          <w:rFonts w:hint="eastAsia" w:eastAsia="方正仿宋_GBK"/>
          <w:color w:val="000000"/>
          <w:sz w:val="32"/>
          <w:szCs w:val="32"/>
        </w:rPr>
        <w:t>区住房城乡建委负责全区城市、镇街以及农村生活污水处理厂（站）的建设、运行监督管理和考核，与全区生活污水处理厂（站）维护运营单位签订维护运营合同，明确双方权利义务。负责全区城乡生活污水处理厂（站）运营单位的考核付费工作。负责污泥管理和无害化处置工作。负责城镇污水管网接沟许可审批工作。</w:t>
      </w:r>
    </w:p>
    <w:p>
      <w:pPr>
        <w:keepNext w:val="0"/>
        <w:keepLines w:val="0"/>
        <w:pageBreakBefore w:val="0"/>
        <w:widowControl w:val="0"/>
        <w:kinsoku/>
        <w:wordWrap/>
        <w:overflowPunct/>
        <w:topLinePunct w:val="0"/>
        <w:autoSpaceDE/>
        <w:autoSpaceDN/>
        <w:bidi w:val="0"/>
        <w:snapToGrid w:val="0"/>
        <w:spacing w:line="600" w:lineRule="exact"/>
        <w:ind w:firstLine="641"/>
        <w:textAlignment w:val="auto"/>
        <w:rPr>
          <w:rFonts w:eastAsia="方正仿宋_GBK"/>
          <w:color w:val="000000"/>
          <w:sz w:val="32"/>
          <w:szCs w:val="32"/>
        </w:rPr>
      </w:pPr>
      <w:r>
        <w:rPr>
          <w:rFonts w:hint="eastAsia" w:eastAsia="方正仿宋_GBK"/>
          <w:color w:val="000000"/>
          <w:sz w:val="32"/>
          <w:szCs w:val="32"/>
        </w:rPr>
        <w:t>区生态环境局负责依法对全区城乡生活污水处理厂（站）的环境保护实施监督管理，依法对出水水质进行监督检查，依法查处超标排放污水行为。负责排污许可证核发工作。</w:t>
      </w:r>
    </w:p>
    <w:p>
      <w:pPr>
        <w:keepNext w:val="0"/>
        <w:keepLines w:val="0"/>
        <w:pageBreakBefore w:val="0"/>
        <w:widowControl w:val="0"/>
        <w:kinsoku/>
        <w:wordWrap/>
        <w:overflowPunct/>
        <w:topLinePunct w:val="0"/>
        <w:autoSpaceDE/>
        <w:autoSpaceDN/>
        <w:bidi w:val="0"/>
        <w:snapToGrid w:val="0"/>
        <w:spacing w:line="600" w:lineRule="exact"/>
        <w:ind w:firstLine="641"/>
        <w:textAlignment w:val="auto"/>
        <w:rPr>
          <w:rFonts w:ascii="方正仿宋_GBK" w:eastAsia="方正仿宋_GBK" w:cs="方正仿宋_GBK"/>
          <w:color w:val="000000"/>
          <w:sz w:val="32"/>
          <w:szCs w:val="32"/>
        </w:rPr>
      </w:pPr>
      <w:r>
        <w:rPr>
          <w:rFonts w:hint="eastAsia" w:ascii="方正仿宋_GBK" w:eastAsia="方正仿宋_GBK" w:cs="方正仿宋_GBK"/>
          <w:color w:val="000000"/>
          <w:sz w:val="32"/>
          <w:szCs w:val="32"/>
        </w:rPr>
        <w:t>各镇街负责辖区内污水处理厂（站）的巡查管理，对发现的污水管网破损，污水处理厂（站）不正常运行和污水排放不正常行为，应立即要求运营单位进行整改，并将相关情况报</w:t>
      </w:r>
      <w:r>
        <w:rPr>
          <w:rFonts w:hint="eastAsia" w:eastAsia="方正仿宋_GBK"/>
          <w:color w:val="000000"/>
          <w:sz w:val="32"/>
          <w:szCs w:val="32"/>
        </w:rPr>
        <w:t>区住房城乡建委</w:t>
      </w:r>
      <w:r>
        <w:rPr>
          <w:rFonts w:hint="eastAsia" w:ascii="方正仿宋_GBK" w:eastAsia="方正仿宋_GBK" w:cs="方正仿宋_GBK"/>
          <w:color w:val="000000"/>
          <w:sz w:val="32"/>
          <w:szCs w:val="32"/>
        </w:rPr>
        <w:t>和区生态环境局。</w:t>
      </w:r>
    </w:p>
    <w:p>
      <w:pPr>
        <w:keepNext w:val="0"/>
        <w:keepLines w:val="0"/>
        <w:pageBreakBefore w:val="0"/>
        <w:widowControl w:val="0"/>
        <w:kinsoku/>
        <w:wordWrap/>
        <w:overflowPunct/>
        <w:topLinePunct w:val="0"/>
        <w:autoSpaceDE/>
        <w:autoSpaceDN/>
        <w:bidi w:val="0"/>
        <w:snapToGrid w:val="0"/>
        <w:spacing w:line="600" w:lineRule="exact"/>
        <w:ind w:firstLine="641"/>
        <w:textAlignment w:val="auto"/>
        <w:rPr>
          <w:rFonts w:ascii="方正仿宋_GBK" w:eastAsia="方正仿宋_GBK" w:cs="方正仿宋_GBK"/>
          <w:color w:val="000000"/>
          <w:sz w:val="32"/>
          <w:szCs w:val="32"/>
        </w:rPr>
      </w:pPr>
      <w:r>
        <w:rPr>
          <w:rFonts w:hint="eastAsia" w:ascii="方正仿宋_GBK" w:eastAsia="方正仿宋_GBK" w:cs="方正仿宋_GBK"/>
          <w:color w:val="000000"/>
          <w:sz w:val="32"/>
          <w:szCs w:val="32"/>
        </w:rPr>
        <w:t>各</w:t>
      </w:r>
      <w:r>
        <w:rPr>
          <w:rFonts w:hint="eastAsia" w:eastAsia="方正仿宋_GBK"/>
          <w:color w:val="000000"/>
          <w:sz w:val="32"/>
          <w:szCs w:val="32"/>
        </w:rPr>
        <w:t>生活</w:t>
      </w:r>
      <w:r>
        <w:rPr>
          <w:rFonts w:hint="eastAsia" w:ascii="方正仿宋_GBK" w:eastAsia="方正仿宋_GBK" w:cs="方正仿宋_GBK"/>
          <w:color w:val="000000"/>
          <w:sz w:val="32"/>
          <w:szCs w:val="32"/>
        </w:rPr>
        <w:t>污水处理厂（站）运营单位应当保证污水处理设施正常运转，完善相关台账和应急运行措施，保障排放污染物符合规定的标准，自觉接受行政部门和社会监督。</w:t>
      </w:r>
    </w:p>
    <w:p>
      <w:pPr>
        <w:keepNext w:val="0"/>
        <w:keepLines w:val="0"/>
        <w:pageBreakBefore w:val="0"/>
        <w:widowControl w:val="0"/>
        <w:kinsoku/>
        <w:wordWrap/>
        <w:overflowPunct/>
        <w:topLinePunct w:val="0"/>
        <w:autoSpaceDE/>
        <w:autoSpaceDN/>
        <w:bidi w:val="0"/>
        <w:snapToGrid w:val="0"/>
        <w:spacing w:line="600" w:lineRule="exact"/>
        <w:ind w:firstLine="641"/>
        <w:textAlignment w:val="auto"/>
        <w:rPr>
          <w:rFonts w:eastAsia="方正仿宋_GBK"/>
          <w:color w:val="000000"/>
          <w:sz w:val="32"/>
          <w:szCs w:val="32"/>
        </w:rPr>
      </w:pPr>
      <w:r>
        <w:rPr>
          <w:rFonts w:hint="eastAsia" w:eastAsia="方正仿宋_GBK"/>
          <w:color w:val="000000"/>
          <w:sz w:val="32"/>
          <w:szCs w:val="32"/>
        </w:rPr>
        <w:t>区财政、规划自然资源、水利、城市管理、农业、市场监管等行政管理部门按照各自职责共同做好全区生活污水处理厂（站）运行的相关工作。</w:t>
      </w:r>
    </w:p>
    <w:p>
      <w:pPr>
        <w:keepNext w:val="0"/>
        <w:keepLines w:val="0"/>
        <w:pageBreakBefore w:val="0"/>
        <w:widowControl w:val="0"/>
        <w:kinsoku/>
        <w:wordWrap/>
        <w:overflowPunct/>
        <w:topLinePunct w:val="0"/>
        <w:autoSpaceDE/>
        <w:autoSpaceDN/>
        <w:bidi w:val="0"/>
        <w:snapToGrid w:val="0"/>
        <w:spacing w:line="600" w:lineRule="exact"/>
        <w:ind w:firstLine="641"/>
        <w:textAlignment w:val="auto"/>
        <w:rPr>
          <w:rFonts w:eastAsia="方正仿宋_GBK"/>
          <w:color w:val="000000"/>
          <w:sz w:val="32"/>
          <w:szCs w:val="32"/>
        </w:rPr>
      </w:pPr>
      <w:r>
        <w:rPr>
          <w:rFonts w:hint="eastAsia" w:ascii="方正黑体_GBK" w:hAnsi="方正黑体_GBK" w:eastAsia="方正黑体_GBK" w:cs="方正黑体_GBK"/>
          <w:color w:val="000000"/>
          <w:sz w:val="32"/>
          <w:szCs w:val="32"/>
        </w:rPr>
        <w:t>第四条</w:t>
      </w:r>
      <w:r>
        <w:rPr>
          <w:rFonts w:eastAsia="方正仿宋_GBK"/>
          <w:color w:val="000000"/>
          <w:sz w:val="32"/>
          <w:szCs w:val="32"/>
        </w:rPr>
        <w:t xml:space="preserve">  </w:t>
      </w:r>
      <w:r>
        <w:rPr>
          <w:rFonts w:hint="eastAsia" w:eastAsia="方正仿宋_GBK"/>
          <w:color w:val="000000"/>
          <w:sz w:val="32"/>
          <w:szCs w:val="32"/>
        </w:rPr>
        <w:t>新、改、扩建污水处理厂（站）的设计必须严格执行污水处理厂（站）设计规范，并根据处理规模、水质特征、受纳水体的环境功能及当地的实际，选择适用的污水处理工艺。</w:t>
      </w:r>
    </w:p>
    <w:p>
      <w:pPr>
        <w:keepNext w:val="0"/>
        <w:keepLines w:val="0"/>
        <w:pageBreakBefore w:val="0"/>
        <w:widowControl w:val="0"/>
        <w:kinsoku/>
        <w:wordWrap/>
        <w:overflowPunct/>
        <w:topLinePunct w:val="0"/>
        <w:autoSpaceDE/>
        <w:autoSpaceDN/>
        <w:bidi w:val="0"/>
        <w:snapToGrid w:val="0"/>
        <w:spacing w:line="600" w:lineRule="exact"/>
        <w:ind w:firstLine="641"/>
        <w:textAlignment w:val="auto"/>
        <w:rPr>
          <w:rFonts w:eastAsia="方正仿宋_GBK"/>
          <w:color w:val="000000"/>
          <w:sz w:val="32"/>
          <w:szCs w:val="32"/>
        </w:rPr>
      </w:pPr>
      <w:r>
        <w:rPr>
          <w:rFonts w:hint="eastAsia" w:ascii="方正黑体_GBK" w:hAnsi="方正黑体_GBK" w:eastAsia="方正黑体_GBK" w:cs="方正黑体_GBK"/>
          <w:color w:val="000000"/>
          <w:sz w:val="32"/>
          <w:szCs w:val="32"/>
        </w:rPr>
        <w:t>第五条</w:t>
      </w:r>
      <w:r>
        <w:rPr>
          <w:rFonts w:eastAsia="方正仿宋_GBK"/>
          <w:color w:val="000000"/>
          <w:sz w:val="32"/>
          <w:szCs w:val="32"/>
        </w:rPr>
        <w:t xml:space="preserve">  </w:t>
      </w:r>
      <w:r>
        <w:rPr>
          <w:rFonts w:hint="eastAsia" w:eastAsia="方正仿宋_GBK"/>
          <w:color w:val="000000"/>
          <w:sz w:val="32"/>
          <w:szCs w:val="32"/>
        </w:rPr>
        <w:t>运营单位应当依法进行排放污染物申报登记，申请排污许可证。</w:t>
      </w:r>
    </w:p>
    <w:p>
      <w:pPr>
        <w:keepNext w:val="0"/>
        <w:keepLines w:val="0"/>
        <w:pageBreakBefore w:val="0"/>
        <w:widowControl w:val="0"/>
        <w:kinsoku/>
        <w:wordWrap/>
        <w:overflowPunct/>
        <w:topLinePunct w:val="0"/>
        <w:autoSpaceDE/>
        <w:autoSpaceDN/>
        <w:bidi w:val="0"/>
        <w:snapToGrid w:val="0"/>
        <w:spacing w:line="600" w:lineRule="exact"/>
        <w:ind w:firstLine="641"/>
        <w:textAlignment w:val="auto"/>
        <w:rPr>
          <w:rFonts w:eastAsia="方正仿宋_GBK"/>
          <w:color w:val="000000"/>
          <w:sz w:val="32"/>
          <w:szCs w:val="32"/>
        </w:rPr>
      </w:pPr>
      <w:r>
        <w:rPr>
          <w:rFonts w:hint="eastAsia" w:ascii="方正黑体_GBK" w:hAnsi="方正黑体_GBK" w:eastAsia="方正黑体_GBK" w:cs="方正黑体_GBK"/>
          <w:color w:val="000000"/>
          <w:sz w:val="32"/>
          <w:szCs w:val="32"/>
        </w:rPr>
        <w:t>第六条</w:t>
      </w:r>
      <w:r>
        <w:rPr>
          <w:rFonts w:eastAsia="方正仿宋_GBK"/>
          <w:color w:val="000000"/>
          <w:sz w:val="32"/>
          <w:szCs w:val="32"/>
        </w:rPr>
        <w:t xml:space="preserve">  </w:t>
      </w:r>
      <w:r>
        <w:rPr>
          <w:rFonts w:hint="eastAsia" w:eastAsia="方正仿宋_GBK"/>
          <w:color w:val="000000"/>
          <w:sz w:val="32"/>
          <w:szCs w:val="32"/>
        </w:rPr>
        <w:t>运营单位应当按照规定取得相应的运营资质，管理、技术、实际操作人员应当持证上岗。</w:t>
      </w:r>
    </w:p>
    <w:p>
      <w:pPr>
        <w:keepNext w:val="0"/>
        <w:keepLines w:val="0"/>
        <w:pageBreakBefore w:val="0"/>
        <w:widowControl w:val="0"/>
        <w:kinsoku/>
        <w:wordWrap/>
        <w:overflowPunct/>
        <w:topLinePunct w:val="0"/>
        <w:autoSpaceDE/>
        <w:autoSpaceDN/>
        <w:bidi w:val="0"/>
        <w:snapToGrid w:val="0"/>
        <w:spacing w:line="600" w:lineRule="exact"/>
        <w:ind w:firstLine="641"/>
        <w:textAlignment w:val="auto"/>
        <w:rPr>
          <w:rFonts w:eastAsia="方正仿宋_GBK"/>
          <w:color w:val="000000"/>
          <w:sz w:val="32"/>
          <w:szCs w:val="32"/>
        </w:rPr>
      </w:pPr>
      <w:r>
        <w:rPr>
          <w:rFonts w:hint="eastAsia" w:ascii="方正黑体_GBK" w:hAnsi="方正黑体_GBK" w:eastAsia="方正黑体_GBK" w:cs="方正黑体_GBK"/>
          <w:color w:val="000000"/>
          <w:sz w:val="32"/>
          <w:szCs w:val="32"/>
        </w:rPr>
        <w:t>第七条</w:t>
      </w:r>
      <w:r>
        <w:rPr>
          <w:rFonts w:eastAsia="方正仿宋_GBK"/>
          <w:color w:val="000000"/>
          <w:sz w:val="32"/>
          <w:szCs w:val="32"/>
        </w:rPr>
        <w:t xml:space="preserve">  </w:t>
      </w:r>
      <w:r>
        <w:rPr>
          <w:rFonts w:hint="eastAsia" w:eastAsia="方正仿宋_GBK"/>
          <w:color w:val="000000"/>
          <w:sz w:val="32"/>
          <w:szCs w:val="32"/>
        </w:rPr>
        <w:t>运营单位应当按照《城镇污水处理厂运行、维护及其安全技术规程》（</w:t>
      </w:r>
      <w:r>
        <w:rPr>
          <w:rFonts w:eastAsia="方正仿宋_GBK"/>
          <w:color w:val="000000"/>
          <w:sz w:val="32"/>
          <w:szCs w:val="32"/>
        </w:rPr>
        <w:t>CJJ60-2011</w:t>
      </w:r>
      <w:r>
        <w:rPr>
          <w:rFonts w:hint="eastAsia" w:eastAsia="方正仿宋_GBK"/>
          <w:color w:val="000000"/>
          <w:sz w:val="32"/>
          <w:szCs w:val="32"/>
        </w:rPr>
        <w:t>），制定保障污水处理厂（站）正常运行的生产管理制度、安全管理制度、水质检验制度和安全运行应急预案，并报</w:t>
      </w:r>
      <w:r>
        <w:rPr>
          <w:rFonts w:hint="eastAsia" w:ascii="方正仿宋_GBK" w:eastAsia="方正仿宋_GBK" w:cs="方正仿宋_GBK"/>
          <w:color w:val="000000"/>
          <w:sz w:val="32"/>
          <w:szCs w:val="32"/>
        </w:rPr>
        <w:t>区住房城乡建委</w:t>
      </w:r>
      <w:r>
        <w:rPr>
          <w:rFonts w:hint="eastAsia" w:eastAsia="方正仿宋_GBK"/>
          <w:color w:val="000000"/>
          <w:sz w:val="32"/>
          <w:szCs w:val="32"/>
        </w:rPr>
        <w:t>备案。应编制《运行与维护手册》，配备备用电源、机械设备、应急处置设施，确保污水处理厂（站）稳定正常运行和出水水质符合国家和地方规定的排放标准。</w:t>
      </w:r>
    </w:p>
    <w:p>
      <w:pPr>
        <w:keepNext w:val="0"/>
        <w:keepLines w:val="0"/>
        <w:pageBreakBefore w:val="0"/>
        <w:widowControl w:val="0"/>
        <w:kinsoku/>
        <w:wordWrap/>
        <w:overflowPunct/>
        <w:topLinePunct w:val="0"/>
        <w:autoSpaceDE/>
        <w:autoSpaceDN/>
        <w:bidi w:val="0"/>
        <w:snapToGrid w:val="0"/>
        <w:spacing w:line="600" w:lineRule="exact"/>
        <w:ind w:firstLine="641"/>
        <w:textAlignment w:val="auto"/>
        <w:rPr>
          <w:rFonts w:eastAsia="方正仿宋_GBK"/>
          <w:color w:val="000000"/>
          <w:sz w:val="32"/>
          <w:szCs w:val="32"/>
        </w:rPr>
      </w:pPr>
      <w:r>
        <w:rPr>
          <w:rFonts w:hint="eastAsia" w:ascii="方正黑体_GBK" w:hAnsi="方正黑体_GBK" w:eastAsia="方正黑体_GBK" w:cs="方正黑体_GBK"/>
          <w:color w:val="000000"/>
          <w:sz w:val="32"/>
          <w:szCs w:val="32"/>
        </w:rPr>
        <w:t>第八条</w:t>
      </w:r>
      <w:r>
        <w:rPr>
          <w:rFonts w:eastAsia="方正仿宋_GBK"/>
          <w:color w:val="000000"/>
          <w:sz w:val="32"/>
          <w:szCs w:val="32"/>
        </w:rPr>
        <w:t xml:space="preserve">  </w:t>
      </w:r>
      <w:r>
        <w:rPr>
          <w:rFonts w:hint="eastAsia" w:eastAsia="方正仿宋_GBK"/>
          <w:color w:val="000000"/>
          <w:sz w:val="32"/>
          <w:szCs w:val="32"/>
        </w:rPr>
        <w:t>运营单位应当建立生产运行台帐，按照国家有关规定检测进出水水质，每月向区住房城乡建委、</w:t>
      </w:r>
      <w:r>
        <w:rPr>
          <w:rFonts w:hint="eastAsia" w:ascii="方正仿宋_GBK" w:eastAsia="方正仿宋_GBK" w:cs="方正仿宋_GBK"/>
          <w:color w:val="000000"/>
          <w:sz w:val="32"/>
          <w:szCs w:val="32"/>
        </w:rPr>
        <w:t>区生态环境局</w:t>
      </w:r>
      <w:r>
        <w:rPr>
          <w:rFonts w:hint="eastAsia" w:eastAsia="方正仿宋_GBK"/>
          <w:color w:val="000000"/>
          <w:sz w:val="32"/>
          <w:szCs w:val="32"/>
        </w:rPr>
        <w:t>报送污水处理水质和水量、主要污染物削减量、污泥处置、设备运行、运营成本、安全生产、运行维护等信息。</w:t>
      </w:r>
    </w:p>
    <w:p>
      <w:pPr>
        <w:keepNext w:val="0"/>
        <w:keepLines w:val="0"/>
        <w:pageBreakBefore w:val="0"/>
        <w:widowControl w:val="0"/>
        <w:kinsoku/>
        <w:wordWrap/>
        <w:overflowPunct/>
        <w:topLinePunct w:val="0"/>
        <w:autoSpaceDE/>
        <w:autoSpaceDN/>
        <w:bidi w:val="0"/>
        <w:snapToGrid w:val="0"/>
        <w:spacing w:line="600" w:lineRule="exact"/>
        <w:ind w:firstLine="641"/>
        <w:textAlignment w:val="auto"/>
        <w:rPr>
          <w:rFonts w:eastAsia="方正仿宋_GBK"/>
          <w:color w:val="000000"/>
          <w:sz w:val="32"/>
          <w:szCs w:val="32"/>
        </w:rPr>
      </w:pPr>
      <w:r>
        <w:rPr>
          <w:rFonts w:hint="eastAsia" w:ascii="方正黑体_GBK" w:hAnsi="方正黑体_GBK" w:eastAsia="方正黑体_GBK" w:cs="方正黑体_GBK"/>
          <w:color w:val="000000"/>
          <w:sz w:val="32"/>
          <w:szCs w:val="32"/>
        </w:rPr>
        <w:t>第九条</w:t>
      </w:r>
      <w:r>
        <w:rPr>
          <w:rFonts w:eastAsia="方正仿宋_GBK"/>
          <w:color w:val="000000"/>
          <w:sz w:val="32"/>
          <w:szCs w:val="32"/>
        </w:rPr>
        <w:t xml:space="preserve">  </w:t>
      </w:r>
      <w:r>
        <w:rPr>
          <w:rFonts w:hint="eastAsia" w:eastAsia="方正仿宋_GBK"/>
          <w:color w:val="000000"/>
          <w:sz w:val="32"/>
          <w:szCs w:val="32"/>
        </w:rPr>
        <w:t>运营单位应当按照相关规定在污水处理厂（站）设置规范的污水排放口。日处理能力</w:t>
      </w:r>
      <w:r>
        <w:rPr>
          <w:rFonts w:eastAsia="方正仿宋_GBK"/>
          <w:color w:val="000000"/>
          <w:sz w:val="32"/>
          <w:szCs w:val="32"/>
        </w:rPr>
        <w:t>500</w:t>
      </w:r>
      <w:r>
        <w:rPr>
          <w:rFonts w:hint="eastAsia" w:eastAsia="方正仿宋_GBK"/>
          <w:color w:val="000000"/>
          <w:sz w:val="32"/>
          <w:szCs w:val="32"/>
        </w:rPr>
        <w:t>吨及以上的污水处理厂（站）应按照有关规定在进、出水口和关键水处理构筑物等位置安装在线监测、监控设施；日处理能力</w:t>
      </w:r>
      <w:r>
        <w:rPr>
          <w:rFonts w:eastAsia="方正仿宋_GBK"/>
          <w:color w:val="000000"/>
          <w:sz w:val="32"/>
          <w:szCs w:val="32"/>
        </w:rPr>
        <w:t>500</w:t>
      </w:r>
      <w:r>
        <w:rPr>
          <w:rFonts w:hint="eastAsia" w:eastAsia="方正仿宋_GBK"/>
          <w:color w:val="000000"/>
          <w:sz w:val="32"/>
          <w:szCs w:val="32"/>
        </w:rPr>
        <w:t>吨以下的污水处理厂（站）按照有关规定安装在线监控设施。在线监测、监控设施需与区住房城乡建委和区生态环境局联网，主动接受监督检查。</w:t>
      </w:r>
    </w:p>
    <w:p>
      <w:pPr>
        <w:keepNext w:val="0"/>
        <w:keepLines w:val="0"/>
        <w:pageBreakBefore w:val="0"/>
        <w:widowControl w:val="0"/>
        <w:kinsoku/>
        <w:wordWrap/>
        <w:overflowPunct/>
        <w:topLinePunct w:val="0"/>
        <w:autoSpaceDE/>
        <w:autoSpaceDN/>
        <w:bidi w:val="0"/>
        <w:snapToGrid w:val="0"/>
        <w:spacing w:line="600" w:lineRule="exact"/>
        <w:ind w:firstLine="641"/>
        <w:textAlignment w:val="auto"/>
        <w:rPr>
          <w:rFonts w:eastAsia="方正仿宋_GBK"/>
          <w:color w:val="000000"/>
          <w:sz w:val="32"/>
          <w:szCs w:val="32"/>
        </w:rPr>
      </w:pPr>
      <w:r>
        <w:rPr>
          <w:rFonts w:hint="eastAsia" w:eastAsia="方正仿宋_GBK"/>
          <w:color w:val="000000"/>
          <w:sz w:val="32"/>
          <w:szCs w:val="32"/>
        </w:rPr>
        <w:t>运营单位应正常使用、维护在线监测监控设施，按有关规定对污水处理厂在线监测监控装置定期进行检验和校准，不得擅自拆除、闲置、改变或损毁。</w:t>
      </w:r>
    </w:p>
    <w:p>
      <w:pPr>
        <w:keepNext w:val="0"/>
        <w:keepLines w:val="0"/>
        <w:pageBreakBefore w:val="0"/>
        <w:widowControl w:val="0"/>
        <w:kinsoku/>
        <w:wordWrap/>
        <w:overflowPunct/>
        <w:topLinePunct w:val="0"/>
        <w:autoSpaceDE/>
        <w:autoSpaceDN/>
        <w:bidi w:val="0"/>
        <w:snapToGrid w:val="0"/>
        <w:spacing w:line="600" w:lineRule="exact"/>
        <w:ind w:firstLine="641"/>
        <w:textAlignment w:val="auto"/>
        <w:rPr>
          <w:rFonts w:eastAsia="方正仿宋_GBK"/>
          <w:color w:val="000000"/>
          <w:sz w:val="32"/>
          <w:szCs w:val="32"/>
        </w:rPr>
      </w:pPr>
      <w:r>
        <w:rPr>
          <w:rFonts w:hint="eastAsia" w:ascii="方正黑体_GBK" w:hAnsi="方正黑体_GBK" w:eastAsia="方正黑体_GBK" w:cs="方正黑体_GBK"/>
          <w:color w:val="000000"/>
          <w:sz w:val="32"/>
          <w:szCs w:val="32"/>
        </w:rPr>
        <w:t>第十条</w:t>
      </w:r>
      <w:r>
        <w:rPr>
          <w:rFonts w:eastAsia="方正仿宋_GBK"/>
          <w:color w:val="000000"/>
          <w:sz w:val="32"/>
          <w:szCs w:val="32"/>
        </w:rPr>
        <w:t xml:space="preserve">  </w:t>
      </w:r>
      <w:r>
        <w:rPr>
          <w:rFonts w:hint="eastAsia" w:eastAsia="方正仿宋_GBK"/>
          <w:color w:val="000000"/>
          <w:sz w:val="32"/>
          <w:szCs w:val="32"/>
        </w:rPr>
        <w:t>污水处理厂（站）进水水质超过设计标准导致出水超标的，运营单位有举证责任和应急处理的义务。发现超标后，应当及时向区住房城乡建委报告，区住房城乡建委接到报告后应当及时取证核实和处理。</w:t>
      </w:r>
    </w:p>
    <w:p>
      <w:pPr>
        <w:keepNext w:val="0"/>
        <w:keepLines w:val="0"/>
        <w:pageBreakBefore w:val="0"/>
        <w:widowControl w:val="0"/>
        <w:kinsoku/>
        <w:wordWrap/>
        <w:overflowPunct/>
        <w:topLinePunct w:val="0"/>
        <w:autoSpaceDE/>
        <w:autoSpaceDN/>
        <w:bidi w:val="0"/>
        <w:snapToGrid w:val="0"/>
        <w:spacing w:line="600" w:lineRule="exact"/>
        <w:ind w:firstLine="641"/>
        <w:textAlignment w:val="auto"/>
        <w:rPr>
          <w:rFonts w:eastAsia="方正仿宋_GBK"/>
          <w:color w:val="000000"/>
          <w:sz w:val="32"/>
          <w:szCs w:val="32"/>
        </w:rPr>
      </w:pPr>
      <w:r>
        <w:rPr>
          <w:rFonts w:hint="eastAsia" w:ascii="方正黑体_GBK" w:hAnsi="方正黑体_GBK" w:eastAsia="方正黑体_GBK" w:cs="方正黑体_GBK"/>
          <w:color w:val="000000"/>
          <w:sz w:val="32"/>
          <w:szCs w:val="32"/>
        </w:rPr>
        <w:t>第十一条</w:t>
      </w:r>
      <w:r>
        <w:rPr>
          <w:rFonts w:eastAsia="方正仿宋_GBK"/>
          <w:color w:val="000000"/>
          <w:sz w:val="32"/>
          <w:szCs w:val="32"/>
        </w:rPr>
        <w:t xml:space="preserve">  </w:t>
      </w:r>
      <w:r>
        <w:rPr>
          <w:rFonts w:hint="eastAsia" w:eastAsia="方正仿宋_GBK"/>
          <w:color w:val="000000"/>
          <w:sz w:val="32"/>
          <w:szCs w:val="32"/>
        </w:rPr>
        <w:t>运营单位应当保持污水处理厂（站）正常运行，不得擅自停运。因检修等原因需要停运或部分停运污水处理厂（站）的，运营单位应当提前</w:t>
      </w:r>
      <w:r>
        <w:rPr>
          <w:rFonts w:eastAsia="方正仿宋_GBK"/>
          <w:color w:val="000000"/>
          <w:sz w:val="32"/>
          <w:szCs w:val="32"/>
        </w:rPr>
        <w:t>90</w:t>
      </w:r>
      <w:r>
        <w:rPr>
          <w:rFonts w:hint="eastAsia" w:eastAsia="方正仿宋_GBK"/>
          <w:color w:val="000000"/>
          <w:sz w:val="32"/>
          <w:szCs w:val="32"/>
        </w:rPr>
        <w:t>个工作日向区住房城乡建委和</w:t>
      </w:r>
      <w:r>
        <w:rPr>
          <w:rFonts w:hint="eastAsia" w:ascii="方正仿宋_GBK" w:eastAsia="方正仿宋_GBK" w:cs="方正仿宋_GBK"/>
          <w:color w:val="000000"/>
          <w:sz w:val="32"/>
          <w:szCs w:val="32"/>
        </w:rPr>
        <w:t>区生态环境局</w:t>
      </w:r>
      <w:r>
        <w:rPr>
          <w:rFonts w:hint="eastAsia" w:eastAsia="方正仿宋_GBK"/>
          <w:color w:val="000000"/>
          <w:sz w:val="32"/>
          <w:szCs w:val="32"/>
        </w:rPr>
        <w:t>报批，经批准后方可实施。</w:t>
      </w:r>
    </w:p>
    <w:p>
      <w:pPr>
        <w:keepNext w:val="0"/>
        <w:keepLines w:val="0"/>
        <w:pageBreakBefore w:val="0"/>
        <w:widowControl w:val="0"/>
        <w:kinsoku/>
        <w:wordWrap/>
        <w:overflowPunct/>
        <w:topLinePunct w:val="0"/>
        <w:autoSpaceDE/>
        <w:autoSpaceDN/>
        <w:bidi w:val="0"/>
        <w:snapToGrid w:val="0"/>
        <w:spacing w:line="600" w:lineRule="exact"/>
        <w:ind w:firstLine="641"/>
        <w:textAlignment w:val="auto"/>
        <w:rPr>
          <w:rFonts w:eastAsia="方正仿宋_GBK"/>
          <w:color w:val="000000"/>
          <w:sz w:val="32"/>
          <w:szCs w:val="32"/>
        </w:rPr>
      </w:pPr>
      <w:r>
        <w:rPr>
          <w:rFonts w:hint="eastAsia" w:eastAsia="方正仿宋_GBK"/>
          <w:color w:val="000000"/>
          <w:sz w:val="32"/>
          <w:szCs w:val="32"/>
        </w:rPr>
        <w:t>对于因突发事件造成污水处理厂（站）全部或部分停运的，运营单位应当立即启动应急预案，禁止污水直排外环境，并在半小时内报告区住房城乡建委和</w:t>
      </w:r>
      <w:r>
        <w:rPr>
          <w:rFonts w:hint="eastAsia" w:ascii="方正仿宋_GBK" w:eastAsia="方正仿宋_GBK" w:cs="方正仿宋_GBK"/>
          <w:color w:val="000000"/>
          <w:sz w:val="32"/>
          <w:szCs w:val="32"/>
        </w:rPr>
        <w:t>区生态环境局</w:t>
      </w:r>
      <w:r>
        <w:rPr>
          <w:rFonts w:hint="eastAsia" w:eastAsia="方正仿宋_GBK"/>
          <w:color w:val="000000"/>
          <w:sz w:val="32"/>
          <w:szCs w:val="32"/>
        </w:rPr>
        <w:t>。恢复正常运行后，应当及时向区住房城乡建委和</w:t>
      </w:r>
      <w:r>
        <w:rPr>
          <w:rFonts w:hint="eastAsia" w:ascii="方正仿宋_GBK" w:eastAsia="方正仿宋_GBK" w:cs="方正仿宋_GBK"/>
          <w:color w:val="000000"/>
          <w:sz w:val="32"/>
          <w:szCs w:val="32"/>
        </w:rPr>
        <w:t>区生态环境局</w:t>
      </w:r>
      <w:r>
        <w:rPr>
          <w:rFonts w:hint="eastAsia" w:eastAsia="方正仿宋_GBK"/>
          <w:color w:val="000000"/>
          <w:sz w:val="32"/>
          <w:szCs w:val="32"/>
        </w:rPr>
        <w:t>报告。</w:t>
      </w:r>
    </w:p>
    <w:p>
      <w:pPr>
        <w:keepNext w:val="0"/>
        <w:keepLines w:val="0"/>
        <w:pageBreakBefore w:val="0"/>
        <w:widowControl w:val="0"/>
        <w:kinsoku/>
        <w:wordWrap/>
        <w:overflowPunct/>
        <w:topLinePunct w:val="0"/>
        <w:autoSpaceDE/>
        <w:autoSpaceDN/>
        <w:bidi w:val="0"/>
        <w:snapToGrid w:val="0"/>
        <w:spacing w:line="600" w:lineRule="exact"/>
        <w:ind w:firstLine="641"/>
        <w:textAlignment w:val="auto"/>
        <w:rPr>
          <w:rFonts w:asci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第十二条</w:t>
      </w:r>
      <w:r>
        <w:rPr>
          <w:rFonts w:eastAsia="方正仿宋_GBK"/>
          <w:color w:val="000000"/>
          <w:sz w:val="32"/>
          <w:szCs w:val="32"/>
        </w:rPr>
        <w:t xml:space="preserve">  </w:t>
      </w:r>
      <w:r>
        <w:rPr>
          <w:rFonts w:hint="eastAsia" w:ascii="方正仿宋_GBK" w:eastAsia="方正仿宋_GBK" w:cs="方正仿宋_GBK"/>
          <w:color w:val="000000"/>
          <w:sz w:val="32"/>
          <w:szCs w:val="32"/>
        </w:rPr>
        <w:t>运营单位是污泥无害化处理处置责任主体，</w:t>
      </w:r>
      <w:r>
        <w:rPr>
          <w:rFonts w:hint="eastAsia" w:eastAsia="方正仿宋_GBK"/>
          <w:color w:val="000000"/>
          <w:sz w:val="32"/>
          <w:szCs w:val="32"/>
        </w:rPr>
        <w:t>污水处理厂（站）排放的污泥含水率应当符合相关规定。</w:t>
      </w:r>
      <w:r>
        <w:rPr>
          <w:rFonts w:hint="eastAsia" w:ascii="方正仿宋_GBK" w:eastAsia="方正仿宋_GBK" w:cs="方正仿宋_GBK"/>
          <w:color w:val="000000"/>
          <w:sz w:val="32"/>
          <w:szCs w:val="32"/>
        </w:rPr>
        <w:t>运营单位</w:t>
      </w:r>
      <w:r>
        <w:rPr>
          <w:rFonts w:hint="eastAsia" w:eastAsia="方正仿宋_GBK"/>
          <w:color w:val="000000"/>
          <w:sz w:val="32"/>
          <w:szCs w:val="32"/>
        </w:rPr>
        <w:t>要严格对</w:t>
      </w:r>
      <w:r>
        <w:rPr>
          <w:rFonts w:hint="eastAsia" w:ascii="方正仿宋_GBK" w:eastAsia="方正仿宋_GBK" w:cs="方正仿宋_GBK"/>
          <w:color w:val="000000"/>
          <w:sz w:val="32"/>
          <w:szCs w:val="32"/>
        </w:rPr>
        <w:t>污泥去向、用途、用量等进行跟踪、记录，并向</w:t>
      </w:r>
      <w:r>
        <w:rPr>
          <w:rFonts w:hint="eastAsia" w:eastAsia="方正仿宋_GBK"/>
          <w:color w:val="000000"/>
          <w:sz w:val="32"/>
          <w:szCs w:val="32"/>
        </w:rPr>
        <w:t>区住房城乡建委</w:t>
      </w:r>
      <w:r>
        <w:rPr>
          <w:rFonts w:hint="eastAsia" w:ascii="方正仿宋_GBK" w:eastAsia="方正仿宋_GBK" w:cs="方正仿宋_GBK"/>
          <w:color w:val="000000"/>
          <w:sz w:val="32"/>
          <w:szCs w:val="32"/>
        </w:rPr>
        <w:t>和区生态环境局报告，不得擅自倾倒、堆放、丢弃、遗撒污泥。</w:t>
      </w:r>
      <w:r>
        <w:rPr>
          <w:rFonts w:hint="eastAsia" w:eastAsia="方正仿宋_GBK"/>
          <w:color w:val="000000"/>
          <w:sz w:val="32"/>
          <w:szCs w:val="32"/>
        </w:rPr>
        <w:t>区住房城乡建委</w:t>
      </w:r>
      <w:r>
        <w:rPr>
          <w:rFonts w:hint="eastAsia" w:ascii="方正仿宋_GBK" w:eastAsia="方正仿宋_GBK" w:cs="方正仿宋_GBK"/>
          <w:color w:val="000000"/>
          <w:sz w:val="32"/>
          <w:szCs w:val="32"/>
        </w:rPr>
        <w:t>负责保障全区污泥的资源化处置利用。</w:t>
      </w:r>
    </w:p>
    <w:p>
      <w:pPr>
        <w:keepNext w:val="0"/>
        <w:keepLines w:val="0"/>
        <w:pageBreakBefore w:val="0"/>
        <w:widowControl w:val="0"/>
        <w:kinsoku/>
        <w:wordWrap/>
        <w:overflowPunct/>
        <w:topLinePunct w:val="0"/>
        <w:autoSpaceDE/>
        <w:autoSpaceDN/>
        <w:bidi w:val="0"/>
        <w:snapToGrid w:val="0"/>
        <w:spacing w:line="600" w:lineRule="exact"/>
        <w:ind w:firstLine="641"/>
        <w:textAlignment w:val="auto"/>
        <w:rPr>
          <w:rFonts w:asci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第十三条</w:t>
      </w:r>
      <w:r>
        <w:rPr>
          <w:rFonts w:ascii="方正仿宋_GBK" w:eastAsia="方正仿宋_GBK" w:cs="方正仿宋_GBK"/>
          <w:color w:val="000000"/>
          <w:sz w:val="32"/>
          <w:szCs w:val="32"/>
        </w:rPr>
        <w:t xml:space="preserve">  </w:t>
      </w:r>
      <w:r>
        <w:rPr>
          <w:rFonts w:hint="eastAsia" w:ascii="方正仿宋_GBK" w:eastAsia="方正仿宋_GBK" w:cs="方正仿宋_GBK"/>
          <w:color w:val="000000"/>
          <w:sz w:val="32"/>
          <w:szCs w:val="32"/>
        </w:rPr>
        <w:t>污水处理厂（站）因处理工艺、设计规模等原因造成出水水质未能稳定达标排放的，运营单位应及时制定技改工作计划，</w:t>
      </w:r>
      <w:r>
        <w:rPr>
          <w:rFonts w:hint="eastAsia" w:ascii="方正仿宋_GBK" w:eastAsia="方正仿宋_GBK" w:cs="方正仿宋_GBK"/>
          <w:color w:val="000000"/>
          <w:sz w:val="32"/>
          <w:szCs w:val="32"/>
          <w:lang w:eastAsia="zh-CN"/>
        </w:rPr>
        <w:t>报</w:t>
      </w:r>
      <w:r>
        <w:rPr>
          <w:rFonts w:hint="eastAsia" w:eastAsia="方正仿宋_GBK"/>
          <w:color w:val="000000"/>
          <w:sz w:val="32"/>
          <w:szCs w:val="32"/>
        </w:rPr>
        <w:t>区住房城乡建委批准</w:t>
      </w:r>
      <w:r>
        <w:rPr>
          <w:rFonts w:hint="eastAsia" w:eastAsia="方正仿宋_GBK"/>
          <w:color w:val="000000"/>
          <w:sz w:val="32"/>
          <w:szCs w:val="32"/>
          <w:lang w:eastAsia="zh-CN"/>
        </w:rPr>
        <w:t>后，送</w:t>
      </w:r>
      <w:r>
        <w:rPr>
          <w:rFonts w:hint="eastAsia" w:eastAsia="方正仿宋_GBK"/>
          <w:color w:val="000000"/>
          <w:sz w:val="32"/>
          <w:szCs w:val="32"/>
        </w:rPr>
        <w:t>区生态环境局</w:t>
      </w:r>
      <w:r>
        <w:rPr>
          <w:rFonts w:hint="eastAsia" w:ascii="方正仿宋_GBK" w:eastAsia="方正仿宋_GBK" w:cs="方正仿宋_GBK"/>
          <w:color w:val="000000"/>
          <w:sz w:val="32"/>
          <w:szCs w:val="32"/>
        </w:rPr>
        <w:t>备案，并及时开展技改工作。技改期间运营单位应采取有效措施确保污水得到有效处理，禁止不达标排放。</w:t>
      </w:r>
    </w:p>
    <w:p>
      <w:pPr>
        <w:keepNext w:val="0"/>
        <w:keepLines w:val="0"/>
        <w:pageBreakBefore w:val="0"/>
        <w:widowControl w:val="0"/>
        <w:kinsoku/>
        <w:wordWrap/>
        <w:overflowPunct/>
        <w:topLinePunct w:val="0"/>
        <w:autoSpaceDE/>
        <w:autoSpaceDN/>
        <w:bidi w:val="0"/>
        <w:snapToGrid w:val="0"/>
        <w:spacing w:line="600" w:lineRule="exact"/>
        <w:ind w:firstLine="641"/>
        <w:textAlignment w:val="auto"/>
        <w:rPr>
          <w:rFonts w:asci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第十四条</w:t>
      </w:r>
      <w:r>
        <w:rPr>
          <w:rFonts w:eastAsia="方正仿宋_GBK"/>
          <w:color w:val="000000"/>
          <w:sz w:val="32"/>
          <w:szCs w:val="32"/>
        </w:rPr>
        <w:t xml:space="preserve">  </w:t>
      </w:r>
      <w:r>
        <w:rPr>
          <w:rFonts w:hint="eastAsia" w:ascii="方正仿宋_GBK" w:eastAsia="方正仿宋_GBK" w:cs="方正仿宋_GBK"/>
          <w:color w:val="000000"/>
          <w:sz w:val="32"/>
          <w:szCs w:val="32"/>
        </w:rPr>
        <w:t>区生态环境局</w:t>
      </w:r>
      <w:r>
        <w:rPr>
          <w:rFonts w:hint="eastAsia" w:eastAsia="方正仿宋_GBK"/>
          <w:color w:val="000000"/>
          <w:sz w:val="32"/>
          <w:szCs w:val="32"/>
        </w:rPr>
        <w:t>加强辖区内污水处理厂（站）的环境监管，每月实施监督性监测和执法检查，</w:t>
      </w:r>
      <w:r>
        <w:rPr>
          <w:rFonts w:hint="eastAsia" w:ascii="方正仿宋_GBK" w:eastAsia="方正仿宋_GBK" w:cs="方正仿宋_GBK"/>
          <w:color w:val="000000"/>
          <w:sz w:val="32"/>
          <w:szCs w:val="32"/>
        </w:rPr>
        <w:t>并将监测结果抄告</w:t>
      </w:r>
      <w:r>
        <w:rPr>
          <w:rFonts w:hint="eastAsia" w:eastAsia="方正仿宋_GBK"/>
          <w:color w:val="000000"/>
          <w:sz w:val="32"/>
          <w:szCs w:val="32"/>
        </w:rPr>
        <w:t>区住房城乡建委</w:t>
      </w:r>
      <w:r>
        <w:rPr>
          <w:rFonts w:hint="eastAsia" w:ascii="方正仿宋_GBK" w:eastAsia="方正仿宋_GBK" w:cs="方正仿宋_GBK"/>
          <w:color w:val="000000"/>
          <w:sz w:val="32"/>
          <w:szCs w:val="32"/>
        </w:rPr>
        <w:t>。</w:t>
      </w:r>
    </w:p>
    <w:p>
      <w:pPr>
        <w:keepNext w:val="0"/>
        <w:keepLines w:val="0"/>
        <w:pageBreakBefore w:val="0"/>
        <w:widowControl w:val="0"/>
        <w:kinsoku/>
        <w:wordWrap/>
        <w:overflowPunct/>
        <w:topLinePunct w:val="0"/>
        <w:autoSpaceDE/>
        <w:autoSpaceDN/>
        <w:bidi w:val="0"/>
        <w:snapToGrid w:val="0"/>
        <w:spacing w:line="600" w:lineRule="exact"/>
        <w:ind w:firstLine="641"/>
        <w:textAlignment w:val="auto"/>
        <w:rPr>
          <w:rFonts w:asci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第十五条</w:t>
      </w:r>
      <w:r>
        <w:rPr>
          <w:rFonts w:eastAsia="方正仿宋_GBK"/>
          <w:color w:val="000000"/>
          <w:sz w:val="32"/>
          <w:szCs w:val="32"/>
        </w:rPr>
        <w:t xml:space="preserve">  </w:t>
      </w:r>
      <w:r>
        <w:rPr>
          <w:rFonts w:hint="eastAsia" w:eastAsia="方正仿宋_GBK"/>
          <w:color w:val="000000"/>
          <w:sz w:val="32"/>
          <w:szCs w:val="32"/>
        </w:rPr>
        <w:t>区住房城乡建委</w:t>
      </w:r>
      <w:r>
        <w:rPr>
          <w:rFonts w:hint="eastAsia" w:ascii="方正仿宋_GBK" w:eastAsia="方正仿宋_GBK" w:cs="方正仿宋_GBK"/>
          <w:color w:val="000000"/>
          <w:sz w:val="32"/>
          <w:szCs w:val="32"/>
        </w:rPr>
        <w:t>应当制定运营服务费考核付费规则，</w:t>
      </w:r>
      <w:r>
        <w:rPr>
          <w:rFonts w:hint="eastAsia" w:eastAsia="方正仿宋_GBK"/>
          <w:color w:val="000000"/>
          <w:sz w:val="32"/>
          <w:szCs w:val="32"/>
        </w:rPr>
        <w:t>定期开展污水处理厂（站）运营情况监督检查，</w:t>
      </w:r>
      <w:r>
        <w:rPr>
          <w:rFonts w:hint="eastAsia" w:ascii="方正仿宋_GBK" w:eastAsia="方正仿宋_GBK" w:cs="方正仿宋_GBK"/>
          <w:color w:val="000000"/>
          <w:sz w:val="32"/>
          <w:szCs w:val="32"/>
        </w:rPr>
        <w:t>根据运营单位履行维护运营合同的情况以及区生态环境局对城镇污水处理设施出水水质和水量的监督检查结果，核定支付污水处理设施运营服务费。</w:t>
      </w:r>
    </w:p>
    <w:p>
      <w:pPr>
        <w:keepNext w:val="0"/>
        <w:keepLines w:val="0"/>
        <w:pageBreakBefore w:val="0"/>
        <w:widowControl w:val="0"/>
        <w:kinsoku/>
        <w:wordWrap/>
        <w:overflowPunct/>
        <w:topLinePunct w:val="0"/>
        <w:autoSpaceDE/>
        <w:autoSpaceDN/>
        <w:bidi w:val="0"/>
        <w:snapToGrid w:val="0"/>
        <w:spacing w:line="600" w:lineRule="exact"/>
        <w:ind w:firstLine="641"/>
        <w:textAlignment w:val="auto"/>
        <w:rPr>
          <w:rFonts w:asci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第十六条</w:t>
      </w:r>
      <w:r>
        <w:rPr>
          <w:rFonts w:ascii="方正仿宋_GBK" w:eastAsia="方正仿宋_GBK" w:cs="方正仿宋_GBK"/>
          <w:color w:val="000000"/>
          <w:sz w:val="32"/>
          <w:szCs w:val="32"/>
        </w:rPr>
        <w:t xml:space="preserve">  </w:t>
      </w:r>
      <w:r>
        <w:rPr>
          <w:rFonts w:hint="eastAsia" w:ascii="方正仿宋_GBK" w:eastAsia="方正仿宋_GBK" w:cs="方正仿宋_GBK"/>
          <w:color w:val="000000"/>
          <w:sz w:val="32"/>
          <w:szCs w:val="32"/>
        </w:rPr>
        <w:t>运营单位未按照国家有关规定检测进出水水质，或者未报送污水处理水质和水量、主要污染物削减量等信息和生产运营成本等信息的；运营单位擅自停运城镇污水处理设施，未按照规定事先报告或者采取应急处理措施的；运营单位擅自拆除和改动污水处理设施的；运营单位谎报实际运行数据、制造虚假数据的；运营单位或者污泥处理处置单位对产生的污泥以及处理处置后的污泥的去向、用途、用量等未进行跟踪、记录的，或者处理处置后的污泥不符合国家有关标准的，擅自倾倒、堆放、丢弃、遗撒污泥的，区住房城乡建委按照《城镇排水与污水处理条例》</w:t>
      </w:r>
      <w:r>
        <w:rPr>
          <w:rFonts w:hint="eastAsia" w:eastAsia="方正仿宋_GBK"/>
          <w:color w:val="000000"/>
          <w:sz w:val="32"/>
          <w:szCs w:val="32"/>
        </w:rPr>
        <w:t>（国务院令第</w:t>
      </w:r>
      <w:r>
        <w:rPr>
          <w:rFonts w:eastAsia="方正仿宋_GBK"/>
          <w:color w:val="000000"/>
          <w:sz w:val="32"/>
          <w:szCs w:val="32"/>
        </w:rPr>
        <w:t>641</w:t>
      </w:r>
      <w:r>
        <w:rPr>
          <w:rFonts w:hint="eastAsia" w:eastAsia="方正仿宋_GBK"/>
          <w:color w:val="000000"/>
          <w:sz w:val="32"/>
          <w:szCs w:val="32"/>
        </w:rPr>
        <w:t>号）</w:t>
      </w:r>
      <w:r>
        <w:rPr>
          <w:rFonts w:hint="eastAsia" w:ascii="方正仿宋_GBK" w:eastAsia="方正仿宋_GBK" w:cs="方正仿宋_GBK"/>
          <w:color w:val="000000"/>
          <w:sz w:val="32"/>
          <w:szCs w:val="32"/>
        </w:rPr>
        <w:t>相关规定予以处理。</w:t>
      </w:r>
    </w:p>
    <w:p>
      <w:pPr>
        <w:keepNext w:val="0"/>
        <w:keepLines w:val="0"/>
        <w:pageBreakBefore w:val="0"/>
        <w:widowControl w:val="0"/>
        <w:kinsoku/>
        <w:wordWrap/>
        <w:overflowPunct/>
        <w:topLinePunct w:val="0"/>
        <w:autoSpaceDE/>
        <w:autoSpaceDN/>
        <w:bidi w:val="0"/>
        <w:snapToGrid w:val="0"/>
        <w:spacing w:line="600" w:lineRule="exact"/>
        <w:ind w:firstLine="641"/>
        <w:textAlignment w:val="auto"/>
        <w:rPr>
          <w:rFonts w:ascii="方正仿宋_GBK" w:eastAsia="方正仿宋_GBK" w:cs="方正仿宋_GBK"/>
          <w:color w:val="000000"/>
          <w:sz w:val="32"/>
          <w:szCs w:val="32"/>
        </w:rPr>
      </w:pPr>
      <w:r>
        <w:rPr>
          <w:rFonts w:hint="eastAsia" w:eastAsia="方正仿宋_GBK"/>
          <w:color w:val="000000"/>
          <w:sz w:val="32"/>
          <w:szCs w:val="32"/>
        </w:rPr>
        <w:t>区住房城乡建委</w:t>
      </w:r>
      <w:r>
        <w:rPr>
          <w:rFonts w:hint="eastAsia" w:ascii="方正仿宋_GBK" w:eastAsia="方正仿宋_GBK" w:cs="方正仿宋_GBK"/>
          <w:color w:val="000000"/>
          <w:sz w:val="32"/>
          <w:szCs w:val="32"/>
        </w:rPr>
        <w:t>终止与运营单位签订的运营合同前，应当采取有效措施保障城镇污水处理设施的安全运行。</w:t>
      </w:r>
    </w:p>
    <w:p>
      <w:pPr>
        <w:keepNext w:val="0"/>
        <w:keepLines w:val="0"/>
        <w:pageBreakBefore w:val="0"/>
        <w:widowControl w:val="0"/>
        <w:kinsoku/>
        <w:wordWrap/>
        <w:overflowPunct/>
        <w:topLinePunct w:val="0"/>
        <w:autoSpaceDE/>
        <w:autoSpaceDN/>
        <w:bidi w:val="0"/>
        <w:snapToGrid w:val="0"/>
        <w:spacing w:line="600" w:lineRule="exact"/>
        <w:ind w:firstLine="641"/>
        <w:textAlignment w:val="auto"/>
        <w:rPr>
          <w:rFonts w:ascii="方正仿宋_GBK" w:eastAsia="方正仿宋_GBK" w:cs="方正仿宋_GBK"/>
          <w:color w:val="000000"/>
          <w:sz w:val="32"/>
          <w:szCs w:val="32"/>
        </w:rPr>
      </w:pPr>
      <w:r>
        <w:rPr>
          <w:rFonts w:hint="eastAsia" w:ascii="方正黑体_GBK" w:hAnsi="方正黑体_GBK" w:eastAsia="方正黑体_GBK" w:cs="方正黑体_GBK"/>
          <w:color w:val="000000"/>
          <w:sz w:val="32"/>
          <w:szCs w:val="32"/>
        </w:rPr>
        <w:t>第十七条</w:t>
      </w:r>
      <w:r>
        <w:rPr>
          <w:rFonts w:ascii="方正仿宋_GBK" w:eastAsia="方正仿宋_GBK" w:cs="方正仿宋_GBK"/>
          <w:color w:val="000000"/>
          <w:sz w:val="32"/>
          <w:szCs w:val="32"/>
        </w:rPr>
        <w:t xml:space="preserve">  </w:t>
      </w:r>
      <w:r>
        <w:rPr>
          <w:rFonts w:hint="eastAsia" w:ascii="方正仿宋_GBK" w:eastAsia="方正仿宋_GBK" w:cs="方正仿宋_GBK"/>
          <w:color w:val="000000"/>
          <w:sz w:val="32"/>
          <w:szCs w:val="32"/>
        </w:rPr>
        <w:t>运营单位不正常运行污水处理设施、出水水质不达标排放、偷排漏排污水的，区生态环境局应当按照相关法律法规进行处罚，对拒不改正的运营单位实施按日连续处罚，对涉嫌污染犯罪的移送司法机关处理。造成损失的，依法承担赔偿责任。</w:t>
      </w:r>
    </w:p>
    <w:p>
      <w:pPr>
        <w:keepNext w:val="0"/>
        <w:keepLines w:val="0"/>
        <w:pageBreakBefore w:val="0"/>
        <w:widowControl w:val="0"/>
        <w:kinsoku/>
        <w:wordWrap/>
        <w:overflowPunct/>
        <w:topLinePunct w:val="0"/>
        <w:autoSpaceDE/>
        <w:autoSpaceDN/>
        <w:bidi w:val="0"/>
        <w:snapToGrid w:val="0"/>
        <w:spacing w:line="600" w:lineRule="exact"/>
        <w:ind w:firstLine="641"/>
        <w:textAlignment w:val="auto"/>
        <w:rPr>
          <w:rFonts w:eastAsia="方正仿宋_GBK"/>
          <w:color w:val="000000"/>
          <w:sz w:val="32"/>
          <w:szCs w:val="32"/>
        </w:rPr>
      </w:pPr>
      <w:r>
        <w:rPr>
          <w:rFonts w:hint="eastAsia" w:ascii="方正黑体_GBK" w:hAnsi="方正黑体_GBK" w:eastAsia="方正黑体_GBK" w:cs="方正黑体_GBK"/>
          <w:color w:val="000000"/>
          <w:sz w:val="32"/>
          <w:szCs w:val="32"/>
        </w:rPr>
        <w:t>第十八条</w:t>
      </w:r>
      <w:r>
        <w:rPr>
          <w:rFonts w:eastAsia="方正仿宋_GBK"/>
          <w:color w:val="000000"/>
          <w:sz w:val="32"/>
          <w:szCs w:val="32"/>
        </w:rPr>
        <w:t xml:space="preserve">  </w:t>
      </w:r>
      <w:r>
        <w:rPr>
          <w:rFonts w:hint="eastAsia" w:eastAsia="方正仿宋_GBK"/>
          <w:color w:val="000000"/>
          <w:sz w:val="32"/>
          <w:szCs w:val="32"/>
        </w:rPr>
        <w:t>运营单位运行管理人员管理不善或玩忽职守造成严重后果或构成犯罪的，依法追究其法律责任。</w:t>
      </w:r>
    </w:p>
    <w:p>
      <w:pPr>
        <w:keepNext w:val="0"/>
        <w:keepLines w:val="0"/>
        <w:pageBreakBefore w:val="0"/>
        <w:widowControl w:val="0"/>
        <w:kinsoku/>
        <w:wordWrap/>
        <w:overflowPunct/>
        <w:topLinePunct w:val="0"/>
        <w:autoSpaceDE/>
        <w:autoSpaceDN/>
        <w:bidi w:val="0"/>
        <w:snapToGrid w:val="0"/>
        <w:spacing w:line="600" w:lineRule="exact"/>
        <w:ind w:firstLine="641"/>
        <w:textAlignment w:val="auto"/>
        <w:rPr>
          <w:rFonts w:eastAsia="方正仿宋_GBK"/>
          <w:color w:val="000000"/>
          <w:sz w:val="32"/>
          <w:szCs w:val="32"/>
        </w:rPr>
      </w:pPr>
      <w:r>
        <w:rPr>
          <w:rFonts w:hint="eastAsia" w:ascii="方正黑体_GBK" w:hAnsi="方正黑体_GBK" w:eastAsia="方正黑体_GBK" w:cs="方正黑体_GBK"/>
          <w:color w:val="000000"/>
          <w:sz w:val="32"/>
          <w:szCs w:val="32"/>
        </w:rPr>
        <w:t>第十九条</w:t>
      </w:r>
      <w:r>
        <w:rPr>
          <w:rFonts w:eastAsia="方正仿宋_GBK"/>
          <w:color w:val="000000"/>
          <w:sz w:val="32"/>
          <w:szCs w:val="32"/>
        </w:rPr>
        <w:t xml:space="preserve">  </w:t>
      </w:r>
      <w:r>
        <w:rPr>
          <w:rFonts w:hint="eastAsia" w:eastAsia="方正仿宋_GBK"/>
          <w:color w:val="000000"/>
          <w:sz w:val="32"/>
          <w:szCs w:val="32"/>
        </w:rPr>
        <w:t>行政主管部门监管人员监管不力、滥用职权、徇私舞弊的，依法依纪给予处分，构成犯罪的，依法追究刑事责任。</w:t>
      </w:r>
    </w:p>
    <w:p>
      <w:pPr>
        <w:keepNext w:val="0"/>
        <w:keepLines w:val="0"/>
        <w:pageBreakBefore w:val="0"/>
        <w:widowControl w:val="0"/>
        <w:kinsoku/>
        <w:wordWrap/>
        <w:overflowPunct/>
        <w:topLinePunct w:val="0"/>
        <w:autoSpaceDE/>
        <w:autoSpaceDN/>
        <w:bidi w:val="0"/>
        <w:snapToGrid w:val="0"/>
        <w:spacing w:line="600" w:lineRule="exact"/>
        <w:ind w:firstLine="641"/>
        <w:textAlignment w:val="auto"/>
        <w:rPr>
          <w:rFonts w:eastAsia="方正仿宋_GBK"/>
          <w:color w:val="000000"/>
          <w:sz w:val="32"/>
          <w:szCs w:val="32"/>
        </w:rPr>
      </w:pPr>
      <w:r>
        <w:rPr>
          <w:rFonts w:hint="eastAsia" w:ascii="方正黑体_GBK" w:hAnsi="方正黑体_GBK" w:eastAsia="方正黑体_GBK" w:cs="方正黑体_GBK"/>
          <w:color w:val="000000"/>
          <w:sz w:val="32"/>
          <w:szCs w:val="32"/>
        </w:rPr>
        <w:t>第二十条</w:t>
      </w:r>
      <w:r>
        <w:rPr>
          <w:rFonts w:eastAsia="方正仿宋_GBK"/>
          <w:color w:val="000000"/>
          <w:sz w:val="32"/>
          <w:szCs w:val="32"/>
        </w:rPr>
        <w:t xml:space="preserve">  </w:t>
      </w:r>
      <w:r>
        <w:rPr>
          <w:rFonts w:hint="eastAsia" w:eastAsia="方正仿宋_GBK"/>
          <w:color w:val="000000"/>
          <w:sz w:val="32"/>
          <w:szCs w:val="32"/>
        </w:rPr>
        <w:t>本办法自印发之日起施行，《重庆市永川区人民政府办公室关于印发永川区生活污水集中处理设施运行管理办法的通知》（永川府办发</w:t>
      </w:r>
      <w:r>
        <w:rPr>
          <w:rFonts w:hint="eastAsia" w:ascii="方正仿宋_GBK" w:hAnsi="方正仿宋_GBK" w:eastAsia="方正仿宋_GBK" w:cs="方正仿宋_GBK"/>
          <w:color w:val="000000"/>
          <w:sz w:val="32"/>
          <w:szCs w:val="32"/>
        </w:rPr>
        <w:t>〔</w:t>
      </w:r>
      <w:r>
        <w:rPr>
          <w:rFonts w:eastAsia="方正仿宋_GBK"/>
          <w:color w:val="000000"/>
          <w:sz w:val="32"/>
          <w:szCs w:val="32"/>
        </w:rPr>
        <w:t>2018</w:t>
      </w:r>
      <w:r>
        <w:rPr>
          <w:rFonts w:hint="eastAsia" w:ascii="方正仿宋_GBK" w:hAnsi="方正仿宋_GBK" w:eastAsia="方正仿宋_GBK" w:cs="方正仿宋_GBK"/>
          <w:color w:val="000000"/>
          <w:sz w:val="32"/>
          <w:szCs w:val="32"/>
        </w:rPr>
        <w:t>〕</w:t>
      </w:r>
      <w:r>
        <w:rPr>
          <w:rFonts w:eastAsia="方正仿宋_GBK"/>
          <w:color w:val="000000"/>
          <w:sz w:val="32"/>
          <w:szCs w:val="32"/>
        </w:rPr>
        <w:t>157</w:t>
      </w:r>
      <w:r>
        <w:rPr>
          <w:rFonts w:hint="eastAsia" w:eastAsia="方正仿宋_GBK"/>
          <w:color w:val="000000"/>
          <w:sz w:val="32"/>
          <w:szCs w:val="32"/>
        </w:rPr>
        <w:t>号）同时废止。</w:t>
      </w:r>
    </w:p>
    <w:p>
      <w:pPr>
        <w:keepNext w:val="0"/>
        <w:keepLines w:val="0"/>
        <w:pageBreakBefore w:val="0"/>
        <w:widowControl w:val="0"/>
        <w:kinsoku/>
        <w:wordWrap/>
        <w:overflowPunct/>
        <w:topLinePunct w:val="0"/>
        <w:autoSpaceDE/>
        <w:autoSpaceDN/>
        <w:bidi w:val="0"/>
        <w:snapToGrid w:val="0"/>
        <w:spacing w:line="600" w:lineRule="exact"/>
        <w:ind w:firstLine="640"/>
        <w:textAlignment w:val="auto"/>
        <w:rPr>
          <w:rFonts w:eastAsia="方正仿宋_GBK"/>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方正小标宋_GBK" w:hAnsi="方正小标宋_GBK" w:eastAsia="方正小标宋_GBK" w:cs="方正小标宋_GBK"/>
          <w:color w:val="000000"/>
          <w:sz w:val="44"/>
          <w:szCs w:val="44"/>
        </w:rPr>
      </w:pPr>
      <w:r>
        <w:rPr>
          <w:rFonts w:eastAsia="方正仿宋_GBK"/>
          <w:color w:val="000000"/>
          <w:sz w:val="32"/>
          <w:szCs w:val="32"/>
        </w:rPr>
        <w:br w:type="page"/>
      </w:r>
      <w:r>
        <w:rPr>
          <w:rFonts w:hint="eastAsia" w:ascii="方正小标宋_GBK" w:hAnsi="方正小标宋_GBK" w:eastAsia="方正小标宋_GBK" w:cs="方正小标宋_GBK"/>
          <w:color w:val="000000"/>
          <w:sz w:val="44"/>
          <w:szCs w:val="44"/>
        </w:rPr>
        <w:t>永川区城镇排水与污水处理设施</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管理办法（试行）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方正仿宋_GBK" w:hAnsi="方正仿宋_GBK" w:eastAsia="方正仿宋_GBK" w:cs="方正仿宋_GBK"/>
        </w:rPr>
      </w:pPr>
      <w:r>
        <w:rPr>
          <w:rFonts w:hint="eastAsia" w:ascii="方正黑体_GBK" w:hAnsi="方正黑体_GBK" w:eastAsia="方正黑体_GBK" w:cs="方正黑体_GBK"/>
          <w:sz w:val="32"/>
          <w:szCs w:val="32"/>
        </w:rPr>
        <w:t>第一条</w:t>
      </w:r>
      <w:r>
        <w:rPr>
          <w:rFonts w:ascii="方正黑体_GBK" w:hAnsi="方正黑体_GBK" w:eastAsia="方正黑体_GBK" w:cs="方正黑体_GBK"/>
          <w:sz w:val="32"/>
          <w:szCs w:val="32"/>
        </w:rPr>
        <w:t xml:space="preserve">  </w:t>
      </w:r>
      <w:r>
        <w:rPr>
          <w:rFonts w:hint="eastAsia" w:ascii="方正仿宋_GBK" w:hAnsi="方正仿宋_GBK" w:eastAsia="方正仿宋_GBK" w:cs="方正仿宋_GBK"/>
          <w:sz w:val="32"/>
          <w:szCs w:val="32"/>
        </w:rPr>
        <w:t>为加强我区城镇排水管理，保障城镇排水设施正常运行，保护城市水环境质量，依据《城镇排水与污水处理条例》、《城镇污水排入排水管网许可管理办法》和《重庆市市政设施管理条例》等有关法律法规，结合本区实际，制定本办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方正仿宋_GBK" w:hAnsi="方正仿宋_GBK" w:eastAsia="方正仿宋_GBK" w:cs="方正仿宋_GBK"/>
        </w:rPr>
      </w:pPr>
      <w:r>
        <w:rPr>
          <w:rFonts w:hint="eastAsia" w:ascii="方正黑体_GBK" w:hAnsi="方正黑体_GBK" w:eastAsia="方正黑体_GBK" w:cs="方正黑体_GBK"/>
          <w:sz w:val="32"/>
          <w:szCs w:val="32"/>
        </w:rPr>
        <w:t>第二条</w:t>
      </w:r>
      <w:r>
        <w:rPr>
          <w:rFonts w:ascii="方正黑体_GBK" w:hAnsi="方正黑体_GBK" w:eastAsia="方正黑体_GBK" w:cs="方正黑体_GBK"/>
          <w:sz w:val="32"/>
          <w:szCs w:val="32"/>
        </w:rPr>
        <w:t xml:space="preserve">  </w:t>
      </w:r>
      <w:r>
        <w:rPr>
          <w:rFonts w:hint="eastAsia" w:ascii="方正仿宋_GBK" w:hAnsi="方正仿宋_GBK" w:eastAsia="方正仿宋_GBK" w:cs="方正仿宋_GBK"/>
          <w:sz w:val="32"/>
          <w:szCs w:val="32"/>
        </w:rPr>
        <w:t>本办法适用于对永川区城市和镇街范围内生活污水处理厂及配套污水收集管网规划、建设、运营维护以及排水户排水行为的监督管理。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方正仿宋_GBK" w:hAnsi="方正仿宋_GBK" w:eastAsia="方正仿宋_GBK" w:cs="方正仿宋_GBK"/>
        </w:rPr>
      </w:pPr>
      <w:r>
        <w:rPr>
          <w:rFonts w:hint="eastAsia" w:ascii="方正仿宋_GBK" w:hAnsi="方正仿宋_GBK" w:eastAsia="方正仿宋_GBK" w:cs="方正仿宋_GBK"/>
          <w:sz w:val="32"/>
          <w:szCs w:val="32"/>
        </w:rPr>
        <w:t>本办法所称公共排水设施是指由政府相关部门建设投资和管理的城镇排水设施；自建排水设施是指社会单位、个人投资建设和管理的城镇排水设施。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方正仿宋_GBK" w:hAnsi="方正仿宋_GBK" w:eastAsia="方正仿宋_GBK" w:cs="方正仿宋_GBK"/>
          <w:color w:val="0000FF"/>
        </w:rPr>
      </w:pPr>
      <w:r>
        <w:rPr>
          <w:rFonts w:hint="eastAsia" w:ascii="方正黑体_GBK" w:hAnsi="方正黑体_GBK" w:eastAsia="方正黑体_GBK" w:cs="方正黑体_GBK"/>
          <w:sz w:val="32"/>
          <w:szCs w:val="32"/>
        </w:rPr>
        <w:t>第三条</w:t>
      </w:r>
      <w:r>
        <w:rPr>
          <w:rFonts w:ascii="方正黑体_GBK" w:hAnsi="方正黑体_GBK" w:eastAsia="方正黑体_GBK" w:cs="方正黑体_GBK"/>
          <w:sz w:val="32"/>
          <w:szCs w:val="32"/>
        </w:rPr>
        <w:t xml:space="preserve">  </w:t>
      </w:r>
      <w:r>
        <w:rPr>
          <w:rFonts w:hint="eastAsia" w:ascii="方正仿宋_GBK" w:hAnsi="方正仿宋_GBK" w:eastAsia="方正仿宋_GBK" w:cs="方正仿宋_GBK"/>
          <w:sz w:val="32"/>
          <w:szCs w:val="32"/>
        </w:rPr>
        <w:t>城市建成区的工程项目排水设施行政许可由区住房城乡建委负责现场查验和办理，建成区以外镇街的工程项目由区住房城乡建委委托项目所在地镇街，并指导镇街按照统一的要求现场查验和办理。</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方正仿宋_GBK" w:eastAsia="方正仿宋_GBK" w:cs="方正仿宋_GBK"/>
        </w:rPr>
      </w:pPr>
      <w:r>
        <w:rPr>
          <w:rFonts w:hint="eastAsia" w:ascii="方正黑体_GBK" w:hAnsi="Times New Roman" w:eastAsia="方正黑体_GBK" w:cs="Times New Roman"/>
          <w:kern w:val="2"/>
          <w:sz w:val="32"/>
          <w:szCs w:val="32"/>
        </w:rPr>
        <w:t>第四条</w:t>
      </w:r>
      <w:r>
        <w:rPr>
          <w:rFonts w:ascii="方正黑体_GBK" w:hAnsi="Times New Roman" w:eastAsia="方正黑体_GBK" w:cs="Times New Roman"/>
          <w:kern w:val="2"/>
          <w:sz w:val="32"/>
          <w:szCs w:val="32"/>
        </w:rPr>
        <w:t xml:space="preserve">  </w:t>
      </w:r>
      <w:r>
        <w:rPr>
          <w:rFonts w:hint="eastAsia" w:ascii="方正仿宋_GBK" w:hAnsi="Times New Roman" w:eastAsia="方正仿宋_GBK" w:cs="Times New Roman"/>
          <w:kern w:val="2"/>
          <w:sz w:val="32"/>
          <w:szCs w:val="32"/>
        </w:rPr>
        <w:t>城市建成区的重点排水户向区住房城乡建委依法申请排水许可证，城市建成区的一般排水户和镇街排水户向所在地镇街依法申请排水许可证。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方正仿宋_GBK" w:hAnsi="方正仿宋_GBK" w:eastAsia="方正仿宋_GBK" w:cs="方正仿宋_GBK"/>
        </w:rPr>
      </w:pPr>
      <w:r>
        <w:rPr>
          <w:rFonts w:hint="eastAsia" w:ascii="方正黑体_GBK" w:hAnsi="方正黑体_GBK" w:eastAsia="方正黑体_GBK" w:cs="方正黑体_GBK"/>
          <w:sz w:val="32"/>
          <w:szCs w:val="32"/>
        </w:rPr>
        <w:t>第五条</w:t>
      </w:r>
      <w:r>
        <w:rPr>
          <w:rFonts w:ascii="方正黑体_GBK" w:hAnsi="方正黑体_GBK" w:eastAsia="方正黑体_GBK" w:cs="方正黑体_GBK"/>
          <w:sz w:val="32"/>
          <w:szCs w:val="32"/>
        </w:rPr>
        <w:t xml:space="preserve">  </w:t>
      </w:r>
      <w:r>
        <w:rPr>
          <w:rFonts w:hint="eastAsia" w:ascii="方正仿宋_GBK" w:hAnsi="方正仿宋_GBK" w:eastAsia="方正仿宋_GBK" w:cs="方正仿宋_GBK"/>
          <w:sz w:val="32"/>
          <w:szCs w:val="32"/>
        </w:rPr>
        <w:t>使用居住区配套商业用房的排水户直接向公共排水设施排放污水的，应当单独申请领取排水许可证；通过居住区的自建排水设施向公共排水设施排放污水的，由物业服务企业统一申请领取排水许可证，并对排水户的排水行为负责。</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方正仿宋_GBK" w:hAnsi="Times New Roman" w:eastAsia="方正仿宋_GBK" w:cs="Times New Roman"/>
          <w:kern w:val="2"/>
          <w:sz w:val="32"/>
          <w:szCs w:val="32"/>
        </w:rPr>
      </w:pPr>
      <w:r>
        <w:rPr>
          <w:rFonts w:hint="eastAsia" w:ascii="方正黑体_GBK" w:hAnsi="Times New Roman" w:eastAsia="方正黑体_GBK" w:cs="Times New Roman"/>
          <w:kern w:val="2"/>
          <w:sz w:val="32"/>
          <w:szCs w:val="32"/>
        </w:rPr>
        <w:t>第六条</w:t>
      </w:r>
      <w:r>
        <w:rPr>
          <w:rFonts w:ascii="方正黑体_GBK" w:hAnsi="Times New Roman" w:eastAsia="方正黑体_GBK" w:cs="Times New Roman"/>
          <w:kern w:val="2"/>
          <w:sz w:val="32"/>
          <w:szCs w:val="32"/>
        </w:rPr>
        <w:t xml:space="preserve">  </w:t>
      </w:r>
      <w:r>
        <w:rPr>
          <w:rFonts w:hint="eastAsia" w:ascii="方正仿宋_GBK" w:hAnsi="Times New Roman" w:eastAsia="方正仿宋_GBK" w:cs="Times New Roman"/>
          <w:kern w:val="2"/>
          <w:sz w:val="32"/>
          <w:szCs w:val="32"/>
        </w:rPr>
        <w:t>商业综合体等集中管理的建筑或者单位内有多个排水户的，由产权单位、经营管理单位或者其委托的物业服务企业统一申请领取排水许可证，并对排水户的排水行为负责。</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方正仿宋_GBK" w:hAnsi="Times New Roman" w:eastAsia="方正仿宋_GBK" w:cs="Times New Roman"/>
          <w:kern w:val="2"/>
          <w:sz w:val="32"/>
          <w:szCs w:val="32"/>
        </w:rPr>
      </w:pPr>
      <w:r>
        <w:rPr>
          <w:rFonts w:hint="eastAsia" w:ascii="方正黑体_GBK" w:hAnsi="Times New Roman" w:eastAsia="方正黑体_GBK" w:cs="Times New Roman"/>
          <w:kern w:val="2"/>
          <w:sz w:val="32"/>
          <w:szCs w:val="32"/>
        </w:rPr>
        <w:t>第七条</w:t>
      </w:r>
      <w:r>
        <w:rPr>
          <w:rFonts w:ascii="方正黑体_GBK" w:hAnsi="Times New Roman" w:eastAsia="方正黑体_GBK" w:cs="Times New Roman"/>
          <w:kern w:val="2"/>
          <w:sz w:val="32"/>
          <w:szCs w:val="32"/>
        </w:rPr>
        <w:t xml:space="preserve">  </w:t>
      </w:r>
      <w:r>
        <w:rPr>
          <w:rFonts w:hint="eastAsia" w:ascii="方正仿宋_GBK" w:hAnsi="Times New Roman" w:eastAsia="方正仿宋_GBK" w:cs="Times New Roman"/>
          <w:kern w:val="2"/>
          <w:sz w:val="32"/>
          <w:szCs w:val="32"/>
        </w:rPr>
        <w:t>自建排水设施需要连接公共排水设施排水的，建设单位应当到区住房城乡建委办理接沟许可。</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方正仿宋_GBK" w:hAnsi="Times New Roman" w:eastAsia="方正仿宋_GBK" w:cs="Times New Roman"/>
          <w:kern w:val="2"/>
          <w:sz w:val="32"/>
          <w:szCs w:val="32"/>
        </w:rPr>
      </w:pPr>
      <w:r>
        <w:rPr>
          <w:rFonts w:hint="eastAsia" w:ascii="方正黑体_GBK" w:hAnsi="Times New Roman" w:eastAsia="方正黑体_GBK" w:cs="Times New Roman"/>
          <w:kern w:val="2"/>
          <w:sz w:val="32"/>
          <w:szCs w:val="32"/>
        </w:rPr>
        <w:t>第八条</w:t>
      </w:r>
      <w:r>
        <w:rPr>
          <w:rFonts w:ascii="方正黑体_GBK" w:hAnsi="Times New Roman" w:eastAsia="方正黑体_GBK" w:cs="Times New Roman"/>
          <w:kern w:val="2"/>
          <w:sz w:val="32"/>
          <w:szCs w:val="32"/>
        </w:rPr>
        <w:t xml:space="preserve">  </w:t>
      </w:r>
      <w:r>
        <w:rPr>
          <w:rFonts w:hint="eastAsia" w:ascii="方正仿宋_GBK" w:hAnsi="Times New Roman" w:eastAsia="方正仿宋_GBK" w:cs="Times New Roman"/>
          <w:kern w:val="2"/>
          <w:sz w:val="32"/>
          <w:szCs w:val="32"/>
        </w:rPr>
        <w:t>餐饮、宾馆、医院、农贸市场、美容理发、修车洗车、洗涤、建筑工地、工业企业、加油站等重点排水户，应当按照国家技术规范建设相应的污水预处理设施，并定期维护，保障预处理设施正常运行。污水处理达标后方可排放。</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方正仿宋_GBK" w:hAnsi="Times New Roman" w:eastAsia="方正仿宋_GBK" w:cs="Times New Roman"/>
          <w:kern w:val="2"/>
          <w:sz w:val="32"/>
          <w:szCs w:val="32"/>
        </w:rPr>
      </w:pPr>
      <w:r>
        <w:rPr>
          <w:rFonts w:hint="eastAsia" w:ascii="方正仿宋_GBK" w:hAnsi="Times New Roman" w:eastAsia="方正仿宋_GBK" w:cs="Times New Roman"/>
          <w:kern w:val="2"/>
          <w:sz w:val="32"/>
          <w:szCs w:val="32"/>
        </w:rPr>
        <w:t>排入排水设施的污水有下列情形之一的，预处理的污水须由检测机构检测达标后方可排放：</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方正仿宋_GBK" w:hAnsi="Times New Roman" w:eastAsia="方正仿宋_GBK" w:cs="Times New Roman"/>
          <w:kern w:val="2"/>
          <w:sz w:val="32"/>
          <w:szCs w:val="32"/>
        </w:rPr>
      </w:pPr>
      <w:r>
        <w:rPr>
          <w:rFonts w:hint="eastAsia" w:ascii="方正仿宋_GBK" w:hAnsi="Times New Roman" w:eastAsia="方正仿宋_GBK" w:cs="Times New Roman"/>
          <w:kern w:val="2"/>
          <w:sz w:val="32"/>
          <w:szCs w:val="32"/>
        </w:rPr>
        <w:t>（一）含重金属、生物制品或者其他难以生化降解物质的污水；</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方正仿宋_GBK" w:hAnsi="Times New Roman" w:eastAsia="方正仿宋_GBK" w:cs="Times New Roman"/>
          <w:kern w:val="2"/>
          <w:sz w:val="32"/>
          <w:szCs w:val="32"/>
        </w:rPr>
      </w:pPr>
      <w:r>
        <w:rPr>
          <w:rFonts w:hint="eastAsia" w:ascii="方正仿宋_GBK" w:hAnsi="Times New Roman" w:eastAsia="方正仿宋_GBK" w:cs="Times New Roman"/>
          <w:kern w:val="2"/>
          <w:sz w:val="32"/>
          <w:szCs w:val="32"/>
        </w:rPr>
        <w:t>（二）含有毒、有害、易燃、易爆物质或者放射性物质的污水；</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方正仿宋_GBK" w:hAnsi="Times New Roman" w:eastAsia="方正仿宋_GBK" w:cs="Times New Roman"/>
          <w:kern w:val="2"/>
          <w:sz w:val="32"/>
          <w:szCs w:val="32"/>
        </w:rPr>
      </w:pPr>
      <w:r>
        <w:rPr>
          <w:rFonts w:hint="eastAsia" w:ascii="方正仿宋_GBK" w:hAnsi="Times New Roman" w:eastAsia="方正仿宋_GBK" w:cs="Times New Roman"/>
          <w:kern w:val="2"/>
          <w:sz w:val="32"/>
          <w:szCs w:val="32"/>
        </w:rPr>
        <w:t>（三）含强酸、强碱等腐蚀物质的污水；</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方正仿宋_GBK" w:hAnsi="Times New Roman" w:eastAsia="方正仿宋_GBK" w:cs="Times New Roman"/>
          <w:kern w:val="2"/>
          <w:sz w:val="32"/>
          <w:szCs w:val="32"/>
        </w:rPr>
      </w:pPr>
      <w:r>
        <w:rPr>
          <w:rFonts w:hint="eastAsia" w:ascii="方正仿宋_GBK" w:hAnsi="Times New Roman" w:eastAsia="方正仿宋_GBK" w:cs="Times New Roman"/>
          <w:kern w:val="2"/>
          <w:sz w:val="32"/>
          <w:szCs w:val="32"/>
        </w:rPr>
        <w:t>（四）医疗卫生机构产生的污水、传染病人或者疑似传染病人产生的排泄物；</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方正仿宋_GBK" w:hAnsi="Times New Roman" w:eastAsia="方正仿宋_GBK" w:cs="Times New Roman"/>
          <w:kern w:val="2"/>
          <w:sz w:val="32"/>
          <w:szCs w:val="32"/>
        </w:rPr>
      </w:pPr>
      <w:r>
        <w:rPr>
          <w:rFonts w:hint="eastAsia" w:ascii="方正仿宋_GBK" w:hAnsi="Times New Roman" w:eastAsia="方正仿宋_GBK" w:cs="Times New Roman"/>
          <w:kern w:val="2"/>
          <w:sz w:val="32"/>
          <w:szCs w:val="32"/>
        </w:rPr>
        <w:t>（五）可能危害排水设施的其他污水。</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方正仿宋_GBK" w:hAnsi="Times New Roman" w:eastAsia="方正仿宋_GBK" w:cs="Times New Roman"/>
          <w:kern w:val="2"/>
          <w:sz w:val="32"/>
          <w:szCs w:val="32"/>
        </w:rPr>
      </w:pPr>
      <w:r>
        <w:rPr>
          <w:rFonts w:hint="eastAsia" w:ascii="方正黑体_GBK" w:hAnsi="Times New Roman" w:eastAsia="方正黑体_GBK" w:cs="Times New Roman"/>
          <w:kern w:val="2"/>
          <w:sz w:val="32"/>
          <w:szCs w:val="32"/>
        </w:rPr>
        <w:t>第九条</w:t>
      </w:r>
      <w:r>
        <w:rPr>
          <w:rFonts w:ascii="方正黑体_GBK" w:hAnsi="Times New Roman" w:eastAsia="方正黑体_GBK" w:cs="Times New Roman"/>
          <w:kern w:val="2"/>
          <w:sz w:val="32"/>
          <w:szCs w:val="32"/>
        </w:rPr>
        <w:t xml:space="preserve">  </w:t>
      </w:r>
      <w:r>
        <w:rPr>
          <w:rFonts w:hint="eastAsia" w:ascii="方正仿宋_GBK" w:hAnsi="Times New Roman" w:eastAsia="方正仿宋_GBK" w:cs="Times New Roman"/>
          <w:kern w:val="2"/>
          <w:sz w:val="32"/>
          <w:szCs w:val="32"/>
        </w:rPr>
        <w:t>区住房城乡建委委托排水监测机构对排水户排放污水的水质和水量进行监测，并建立排水监测档案。排水户应当接受监测，如实提供有关资料。</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方正仿宋_GBK" w:hAnsi="Times New Roman" w:eastAsia="方正仿宋_GBK" w:cs="Times New Roman"/>
          <w:kern w:val="2"/>
          <w:sz w:val="32"/>
          <w:szCs w:val="32"/>
        </w:rPr>
      </w:pPr>
      <w:r>
        <w:rPr>
          <w:rFonts w:hint="eastAsia" w:ascii="方正仿宋_GBK" w:hAnsi="Times New Roman" w:eastAsia="方正仿宋_GBK" w:cs="Times New Roman"/>
          <w:kern w:val="2"/>
          <w:sz w:val="32"/>
          <w:szCs w:val="32"/>
        </w:rPr>
        <w:t>列入重点排污单位名录的排水户应自行安装水污染物排放在线监测设备，并与区住房城乡建委和区生态环境局的监控设备联网。</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方正仿宋_GBK" w:hAnsi="Times New Roman" w:eastAsia="方正仿宋_GBK" w:cs="Times New Roman"/>
          <w:kern w:val="2"/>
          <w:sz w:val="32"/>
          <w:szCs w:val="32"/>
        </w:rPr>
      </w:pPr>
      <w:r>
        <w:rPr>
          <w:rFonts w:hint="eastAsia" w:ascii="方正黑体_GBK" w:hAnsi="Times New Roman" w:eastAsia="方正黑体_GBK" w:cs="Times New Roman"/>
          <w:kern w:val="2"/>
          <w:sz w:val="32"/>
          <w:szCs w:val="32"/>
        </w:rPr>
        <w:t>第十条</w:t>
      </w:r>
      <w:r>
        <w:rPr>
          <w:rFonts w:ascii="方正黑体_GBK" w:hAnsi="Times New Roman" w:eastAsia="方正黑体_GBK" w:cs="Times New Roman"/>
          <w:kern w:val="2"/>
          <w:sz w:val="32"/>
          <w:szCs w:val="32"/>
        </w:rPr>
        <w:t xml:space="preserve">  </w:t>
      </w:r>
      <w:r>
        <w:rPr>
          <w:rFonts w:hint="eastAsia" w:ascii="方正仿宋_GBK" w:hAnsi="Times New Roman" w:eastAsia="方正仿宋_GBK" w:cs="Times New Roman"/>
          <w:kern w:val="2"/>
          <w:sz w:val="32"/>
          <w:szCs w:val="32"/>
        </w:rPr>
        <w:t>公共排水设施由区住房城乡建委负责维护管理；已建成尚未移交的，由建设单位负责维护管理。公共排水设施的维护管理单位可以通过特许经营、政府购买服务等方式，确定专业单位实施排水设施的维护管理。</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方正仿宋_GBK" w:hAnsi="Times New Roman" w:eastAsia="方正仿宋_GBK" w:cs="Times New Roman"/>
          <w:kern w:val="2"/>
          <w:sz w:val="32"/>
          <w:szCs w:val="32"/>
        </w:rPr>
      </w:pPr>
      <w:r>
        <w:rPr>
          <w:rFonts w:hint="eastAsia" w:ascii="方正仿宋_GBK" w:hAnsi="Times New Roman" w:eastAsia="方正仿宋_GBK" w:cs="Times New Roman"/>
          <w:kern w:val="2"/>
          <w:sz w:val="32"/>
          <w:szCs w:val="32"/>
        </w:rPr>
        <w:t>自建排水设施由产权人负责维护管理。产权人可以委托专业单位实施排水设施的维护管理。</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方正仿宋_GBK" w:hAnsi="Times New Roman" w:eastAsia="方正仿宋_GBK" w:cs="Times New Roman"/>
          <w:kern w:val="2"/>
          <w:sz w:val="32"/>
          <w:szCs w:val="32"/>
        </w:rPr>
      </w:pPr>
      <w:r>
        <w:rPr>
          <w:rFonts w:hint="eastAsia" w:ascii="方正仿宋_GBK" w:hAnsi="Times New Roman" w:eastAsia="方正仿宋_GBK" w:cs="Times New Roman"/>
          <w:kern w:val="2"/>
          <w:sz w:val="32"/>
          <w:szCs w:val="32"/>
        </w:rPr>
        <w:t>居住区的自建排水设施，由业主负责维护管理或者由其委托的物业服务企业按照约定实施维护管理；未实行物业管理的城镇老旧居住区的排水设施，由所在地的镇、街负责维护管理或者由其指定的单位负责维护管理。</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方正仿宋_GBK" w:hAnsi="Times New Roman" w:eastAsia="方正仿宋_GBK" w:cs="Times New Roman"/>
          <w:kern w:val="2"/>
          <w:sz w:val="32"/>
          <w:szCs w:val="32"/>
        </w:rPr>
      </w:pPr>
      <w:r>
        <w:rPr>
          <w:rFonts w:hint="eastAsia" w:ascii="方正黑体_GBK" w:hAnsi="Times New Roman" w:eastAsia="方正黑体_GBK" w:cs="Times New Roman"/>
          <w:kern w:val="2"/>
          <w:sz w:val="32"/>
          <w:szCs w:val="32"/>
        </w:rPr>
        <w:t>第十一条</w:t>
      </w:r>
      <w:r>
        <w:rPr>
          <w:rFonts w:ascii="方正黑体_GBK" w:hAnsi="Times New Roman" w:eastAsia="方正黑体_GBK" w:cs="Times New Roman"/>
          <w:kern w:val="2"/>
          <w:sz w:val="32"/>
          <w:szCs w:val="32"/>
        </w:rPr>
        <w:t xml:space="preserve">  </w:t>
      </w:r>
      <w:r>
        <w:rPr>
          <w:rFonts w:hint="eastAsia" w:ascii="方正仿宋_GBK" w:hAnsi="Times New Roman" w:eastAsia="方正仿宋_GBK" w:cs="Times New Roman"/>
          <w:kern w:val="2"/>
          <w:sz w:val="32"/>
          <w:szCs w:val="32"/>
        </w:rPr>
        <w:t>污水处理运营单位应当每月向区住房城乡建委报告进出水水质、水量情况，以及特许经营协议、服务协议规定的报告项目。出现进出水水质、水量异常以及影响设施正常运行的突发情况，应当及时采取补救措施并向区住房城乡建委、区生态</w:t>
      </w:r>
      <w:r>
        <w:rPr>
          <w:rFonts w:hint="eastAsia" w:ascii="方正仿宋_GBK" w:hAnsi="Times New Roman" w:eastAsia="方正仿宋_GBK" w:cs="Times New Roman"/>
          <w:color w:val="000000"/>
          <w:kern w:val="2"/>
          <w:sz w:val="32"/>
          <w:szCs w:val="32"/>
        </w:rPr>
        <w:t>环境</w:t>
      </w:r>
      <w:r>
        <w:rPr>
          <w:rFonts w:hint="eastAsia" w:ascii="方正仿宋_GBK" w:hAnsi="Times New Roman" w:eastAsia="方正仿宋_GBK" w:cs="Times New Roman"/>
          <w:kern w:val="2"/>
          <w:sz w:val="32"/>
          <w:szCs w:val="32"/>
        </w:rPr>
        <w:t>局报告。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方正黑体_GBK" w:hAnsi="方正黑体_GBK" w:eastAsia="方正黑体_GBK" w:cs="方正黑体_GBK"/>
        </w:rPr>
      </w:pPr>
      <w:r>
        <w:rPr>
          <w:rFonts w:hint="eastAsia" w:ascii="方正黑体_GBK" w:hAnsi="方正黑体_GBK" w:eastAsia="方正黑体_GBK" w:cs="方正黑体_GBK"/>
          <w:sz w:val="32"/>
          <w:szCs w:val="32"/>
        </w:rPr>
        <w:t>第十二条</w:t>
      </w:r>
      <w:r>
        <w:rPr>
          <w:rFonts w:ascii="方正黑体_GBK" w:hAnsi="方正黑体_GBK" w:eastAsia="方正黑体_GBK" w:cs="方正黑体_GBK"/>
          <w:sz w:val="32"/>
          <w:szCs w:val="32"/>
        </w:rPr>
        <w:t xml:space="preserve">  </w:t>
      </w:r>
      <w:r>
        <w:rPr>
          <w:rFonts w:hint="eastAsia" w:ascii="方正仿宋_GBK" w:hAnsi="方正仿宋_GBK" w:eastAsia="方正仿宋_GBK" w:cs="方正仿宋_GBK"/>
          <w:sz w:val="32"/>
          <w:szCs w:val="32"/>
        </w:rPr>
        <w:t>依据城镇污水处理设施出水水质和水量的监督检查结果，按期核定服务费</w:t>
      </w:r>
      <w:r>
        <w:rPr>
          <w:rFonts w:hint="eastAsia" w:ascii="方正仿宋_GBK" w:eastAsia="方正仿宋_GBK"/>
          <w:sz w:val="32"/>
          <w:szCs w:val="32"/>
        </w:rPr>
        <w:t>。</w:t>
      </w:r>
      <w:r>
        <w:rPr>
          <w:rFonts w:hint="eastAsia" w:ascii="方正仿宋_GBK" w:hAnsi="方正仿宋_GBK" w:eastAsia="方正仿宋_GBK" w:cs="方正仿宋_GBK"/>
          <w:sz w:val="32"/>
          <w:szCs w:val="32"/>
        </w:rPr>
        <w:t>有关付费的具体要求另行规定。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方正仿宋_GBK" w:hAnsi="方正仿宋_GBK" w:eastAsia="方正仿宋_GBK" w:cs="方正仿宋_GBK"/>
        </w:rPr>
      </w:pPr>
      <w:r>
        <w:rPr>
          <w:rFonts w:hint="eastAsia" w:ascii="方正黑体_GBK" w:hAnsi="方正黑体_GBK" w:eastAsia="方正黑体_GBK" w:cs="方正黑体_GBK"/>
          <w:sz w:val="32"/>
          <w:szCs w:val="32"/>
        </w:rPr>
        <w:t>第十三条</w:t>
      </w:r>
      <w:r>
        <w:rPr>
          <w:rFonts w:ascii="方正黑体_GBK" w:hAnsi="方正黑体_GBK" w:eastAsia="方正黑体_GBK" w:cs="方正黑体_GBK"/>
          <w:sz w:val="32"/>
          <w:szCs w:val="32"/>
        </w:rPr>
        <w:t xml:space="preserve">  </w:t>
      </w:r>
      <w:r>
        <w:rPr>
          <w:rFonts w:hint="eastAsia" w:hAnsi="方正仿宋_GBK" w:eastAsia="方正仿宋_GBK" w:cs="方正仿宋_GBK"/>
          <w:sz w:val="32"/>
          <w:szCs w:val="32"/>
        </w:rPr>
        <w:t>区规划自然资源局负责绘制污水处理厂分布图和一级干管、二三级管网走向布局图；并对新建、改扩建污水处理厂、管网适时进行更新，负责将更新后污水处理厂分布图和管网布局图制作成电子文件，</w:t>
      </w:r>
      <w:r>
        <w:rPr>
          <w:rFonts w:hint="eastAsia" w:hAnsi="方正仿宋_GBK" w:eastAsia="方正仿宋_GBK" w:cs="方正仿宋_GBK"/>
          <w:color w:val="000000"/>
          <w:sz w:val="32"/>
          <w:szCs w:val="32"/>
        </w:rPr>
        <w:t>抄送区住房城乡建委，</w:t>
      </w:r>
      <w:r>
        <w:rPr>
          <w:rFonts w:hint="eastAsia" w:hAnsi="方正仿宋_GBK" w:eastAsia="方正仿宋_GBK" w:cs="方正仿宋_GBK"/>
          <w:sz w:val="32"/>
          <w:szCs w:val="32"/>
        </w:rPr>
        <w:t>便于设施巡查和检修。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方正仿宋_GBK" w:hAnsi="方正仿宋_GBK" w:eastAsia="方正仿宋_GBK" w:cs="方正仿宋_GBK"/>
        </w:rPr>
      </w:pPr>
      <w:r>
        <w:rPr>
          <w:rFonts w:hint="eastAsia" w:ascii="方正黑体_GBK" w:hAnsi="方正黑体_GBK" w:eastAsia="方正黑体_GBK" w:cs="方正黑体_GBK"/>
          <w:sz w:val="32"/>
          <w:szCs w:val="32"/>
        </w:rPr>
        <w:t>第十四条</w:t>
      </w:r>
      <w:r>
        <w:rPr>
          <w:rFonts w:ascii="方正黑体_GBK" w:hAnsi="方正黑体_GBK" w:eastAsia="方正黑体_GBK" w:cs="方正黑体_GBK"/>
          <w:sz w:val="32"/>
          <w:szCs w:val="32"/>
        </w:rPr>
        <w:t xml:space="preserve">  </w:t>
      </w:r>
      <w:r>
        <w:rPr>
          <w:rFonts w:hint="eastAsia" w:ascii="方正仿宋_GBK" w:hAnsi="方正仿宋_GBK" w:eastAsia="方正仿宋_GBK" w:cs="方正仿宋_GBK"/>
          <w:sz w:val="32"/>
          <w:szCs w:val="32"/>
        </w:rPr>
        <w:t>区政府有关部门、各镇街具体监督管理职责如下：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方正仿宋_GBK" w:hAnsi="方正仿宋_GBK" w:eastAsia="方正仿宋_GBK" w:cs="方正仿宋_GBK"/>
        </w:rPr>
      </w:pPr>
      <w:r>
        <w:rPr>
          <w:rFonts w:hint="eastAsia" w:ascii="方正楷体_GBK" w:hAnsi="方正楷体_GBK" w:eastAsia="方正楷体_GBK" w:cs="方正楷体_GBK"/>
          <w:sz w:val="32"/>
          <w:szCs w:val="32"/>
        </w:rPr>
        <w:t>（一）区住房城乡建委主要职责。</w:t>
      </w:r>
      <w:r>
        <w:rPr>
          <w:rFonts w:hint="eastAsia" w:ascii="方正仿宋_GBK" w:hAnsi="方正仿宋_GBK" w:eastAsia="方正仿宋_GBK" w:cs="方正仿宋_GBK"/>
          <w:sz w:val="32"/>
          <w:szCs w:val="32"/>
        </w:rPr>
        <w:t>一是牵头负责全区排水设施日常监督管理；二是负责办理城区雨污管网接（改）沟许可审批、排水许可审批；三是负责城市和镇街雨污管网覆盖区违法违规接（改）沟、乱排水的查处；四是组织实施城区排水设施应急抢修；五是负责督促全区物业管理公司完善排水许可手续、督促全区物业管理公司加强管理范围内排水设施的运行和维护；六是做好城镇内涝防治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方正仿宋_GBK" w:hAnsi="方正仿宋_GBK" w:eastAsia="方正仿宋_GBK" w:cs="方正仿宋_GBK"/>
        </w:rPr>
      </w:pPr>
      <w:r>
        <w:rPr>
          <w:rFonts w:hint="eastAsia" w:ascii="方正楷体_GBK" w:hAnsi="方正楷体_GBK" w:eastAsia="方正楷体_GBK" w:cs="方正楷体_GBK"/>
          <w:sz w:val="32"/>
          <w:szCs w:val="32"/>
        </w:rPr>
        <w:t>（二）</w:t>
      </w:r>
      <w:r>
        <w:rPr>
          <w:rFonts w:hint="eastAsia" w:ascii="方正楷体_GBK" w:hAnsi="方正楷体_GBK" w:eastAsia="方正楷体_GBK" w:cs="方正楷体_GBK"/>
          <w:color w:val="000000"/>
          <w:sz w:val="32"/>
          <w:szCs w:val="32"/>
        </w:rPr>
        <w:t>区生态环境局</w:t>
      </w:r>
      <w:r>
        <w:rPr>
          <w:rFonts w:hint="eastAsia" w:ascii="方正楷体_GBK" w:hAnsi="方正楷体_GBK" w:eastAsia="方正楷体_GBK" w:cs="方正楷体_GBK"/>
          <w:sz w:val="32"/>
          <w:szCs w:val="32"/>
        </w:rPr>
        <w:t>主要职责。</w:t>
      </w:r>
      <w:r>
        <w:rPr>
          <w:rFonts w:hint="eastAsia" w:ascii="方正仿宋_GBK" w:hAnsi="方正仿宋_GBK" w:eastAsia="方正仿宋_GBK" w:cs="方正仿宋_GBK"/>
          <w:sz w:val="32"/>
          <w:szCs w:val="32"/>
        </w:rPr>
        <w:t>一是</w:t>
      </w:r>
      <w:r>
        <w:rPr>
          <w:rFonts w:hint="eastAsia" w:hAnsi="方正仿宋_GBK" w:eastAsia="方正仿宋_GBK" w:cs="方正仿宋_GBK"/>
          <w:sz w:val="32"/>
          <w:szCs w:val="32"/>
        </w:rPr>
        <w:t>负责依法对全区生活污水处理厂的环境保护实施监督管理；二是依法对出水水质进行监督检查，依法查处超标排放污水行为；三是负责依法对纳入排污许可管理的排污单位开展排污许可证核发工作</w:t>
      </w:r>
      <w:r>
        <w:rPr>
          <w:rFonts w:hint="eastAsia" w:hAnsi="方正仿宋_GBK" w:eastAsia="方正仿宋_GBK" w:cs="方正仿宋_GBK"/>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方正仿宋_GBK" w:hAnsi="方正仿宋_GBK" w:eastAsia="方正仿宋_GBK" w:cs="方正仿宋_GBK"/>
        </w:rPr>
      </w:pPr>
      <w:r>
        <w:rPr>
          <w:rFonts w:hint="eastAsia" w:ascii="方正楷体_GBK" w:hAnsi="方正楷体_GBK" w:eastAsia="方正楷体_GBK" w:cs="方正楷体_GBK"/>
          <w:sz w:val="32"/>
          <w:szCs w:val="32"/>
        </w:rPr>
        <w:t>（三）区城市管理局主要职责。</w:t>
      </w:r>
      <w:r>
        <w:rPr>
          <w:rFonts w:hint="eastAsia" w:ascii="方正仿宋_GBK" w:hAnsi="方正仿宋_GBK" w:eastAsia="方正仿宋_GBK" w:cs="方正仿宋_GBK"/>
          <w:sz w:val="32"/>
          <w:szCs w:val="32"/>
        </w:rPr>
        <w:t>一是负责全区洗车场内排水设施日常监督管理；二是配合督促洗车场业主或经营者实施排水设施改造，确保洗车废水经预处理达标后排入市政污水管网；三是负责查处私自开挖市政路面，配合区住房城乡建委查处偷建排水管网行为，并责令其限期整改到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方正仿宋_GBK" w:hAnsi="方正仿宋_GBK" w:eastAsia="方正仿宋_GBK" w:cs="方正仿宋_GBK"/>
        </w:rPr>
      </w:pPr>
      <w:r>
        <w:rPr>
          <w:rFonts w:hint="eastAsia" w:ascii="方正楷体_GBK" w:hAnsi="方正楷体_GBK" w:eastAsia="方正楷体_GBK" w:cs="方正楷体_GBK"/>
          <w:sz w:val="32"/>
          <w:szCs w:val="32"/>
        </w:rPr>
        <w:t>（四）区商务委主要职责。</w:t>
      </w:r>
      <w:r>
        <w:rPr>
          <w:rFonts w:hint="eastAsia" w:ascii="方正仿宋_GBK" w:hAnsi="方正仿宋_GBK" w:eastAsia="方正仿宋_GBK" w:cs="方正仿宋_GBK"/>
          <w:sz w:val="32"/>
          <w:szCs w:val="32"/>
        </w:rPr>
        <w:t>一是负责全区农贸市场管理范围内排水设施日常监督管理；二是负责督促农贸市场业主或经营者完善市场内部雨污管网改造，确保市场内部污水经预处理达标后排入市政污水管网；三是负责督促全区农贸市场业主或经营者完善接（改）沟许可审批和排水许可审批。</w:t>
      </w:r>
      <w:r>
        <w:rPr>
          <w:rFonts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方正仿宋_GBK" w:hAnsi="方正仿宋_GBK" w:eastAsia="方正仿宋_GBK" w:cs="方正仿宋_GBK"/>
        </w:rPr>
      </w:pPr>
      <w:r>
        <w:rPr>
          <w:rFonts w:hint="eastAsia" w:ascii="方正楷体_GBK" w:hAnsi="方正楷体_GBK" w:eastAsia="方正楷体_GBK" w:cs="方正楷体_GBK"/>
          <w:sz w:val="32"/>
          <w:szCs w:val="32"/>
        </w:rPr>
        <w:t>（五）</w:t>
      </w:r>
      <w:r>
        <w:rPr>
          <w:rFonts w:hint="eastAsia" w:ascii="方正楷体_GBK" w:hAnsi="方正楷体_GBK" w:eastAsia="方正楷体_GBK" w:cs="方正楷体_GBK"/>
          <w:color w:val="000000"/>
          <w:sz w:val="32"/>
          <w:szCs w:val="32"/>
        </w:rPr>
        <w:t>区市场监管局主要职责。</w:t>
      </w:r>
      <w:r>
        <w:rPr>
          <w:rFonts w:hint="eastAsia" w:ascii="方正仿宋_GBK" w:hAnsi="方正仿宋_GBK" w:eastAsia="方正仿宋_GBK" w:cs="方正仿宋_GBK"/>
          <w:sz w:val="32"/>
          <w:szCs w:val="32"/>
        </w:rPr>
        <w:t>一是负责全区小作坊、餐饮场所排水设施日常监督管理；二是配合督促小作坊、餐饮业主或经营者完善排水设施改造，经预处理达标后排放；三是配合督促全区小作坊、餐饮业主或经营者完善接（改）沟许可审批和排水许可审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方正仿宋_GBK" w:hAnsi="方正仿宋_GBK" w:eastAsia="方正仿宋_GBK" w:cs="方正仿宋_GBK"/>
        </w:rPr>
      </w:pPr>
      <w:r>
        <w:rPr>
          <w:rFonts w:hint="eastAsia" w:ascii="方正楷体_GBK" w:hAnsi="方正楷体_GBK" w:eastAsia="方正楷体_GBK" w:cs="方正楷体_GBK"/>
          <w:sz w:val="32"/>
          <w:szCs w:val="32"/>
        </w:rPr>
        <w:t>（六）</w:t>
      </w:r>
      <w:r>
        <w:rPr>
          <w:rFonts w:hint="eastAsia" w:ascii="方正楷体_GBK" w:hAnsi="方正楷体_GBK" w:eastAsia="方正楷体_GBK" w:cs="方正楷体_GBK"/>
          <w:color w:val="000000"/>
          <w:sz w:val="32"/>
          <w:szCs w:val="32"/>
        </w:rPr>
        <w:t>区卫生健康委</w:t>
      </w:r>
      <w:r>
        <w:rPr>
          <w:rFonts w:hint="eastAsia" w:ascii="方正楷体_GBK" w:hAnsi="方正楷体_GBK" w:eastAsia="方正楷体_GBK" w:cs="方正楷体_GBK"/>
          <w:sz w:val="32"/>
          <w:szCs w:val="32"/>
        </w:rPr>
        <w:t>主要职责。</w:t>
      </w:r>
      <w:r>
        <w:rPr>
          <w:rFonts w:hint="eastAsia" w:ascii="方正仿宋_GBK" w:hAnsi="方正仿宋_GBK" w:eastAsia="方正仿宋_GBK" w:cs="方正仿宋_GBK"/>
          <w:sz w:val="32"/>
          <w:szCs w:val="32"/>
        </w:rPr>
        <w:t>一是负责全区医院排水设施日常监督管理；二是负责督促全区医院实施内部排水设施改造，确保医疗废水和生活污水无害化处理达标后排入市政污水管网；三是负责督促全区医院完善接（改）沟许可审批和排水许可审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方正仿宋_GBK" w:hAnsi="方正仿宋_GBK" w:eastAsia="方正仿宋_GBK" w:cs="方正仿宋_GBK"/>
        </w:rPr>
      </w:pPr>
      <w:r>
        <w:rPr>
          <w:rFonts w:hint="eastAsia" w:ascii="方正楷体_GBK" w:hAnsi="方正楷体_GBK" w:eastAsia="方正楷体_GBK" w:cs="方正楷体_GBK"/>
          <w:sz w:val="32"/>
          <w:szCs w:val="32"/>
        </w:rPr>
        <w:t>（七）区教委主要职责。</w:t>
      </w:r>
      <w:r>
        <w:rPr>
          <w:rFonts w:hint="eastAsia" w:ascii="方正仿宋_GBK" w:hAnsi="方正仿宋_GBK" w:eastAsia="方正仿宋_GBK" w:cs="方正仿宋_GBK"/>
          <w:sz w:val="32"/>
          <w:szCs w:val="32"/>
        </w:rPr>
        <w:t>一是负责全区学校排水设施日常监督管理；二是负责督促全区学校实施内部排水设施改造，确保生活污水经预处理达标后排入市政污水管网；三是负责督促全区学校完善接（改）沟许可审批和排水许可审批。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方正仿宋_GBK" w:hAnsi="方正仿宋_GBK" w:eastAsia="方正仿宋_GBK" w:cs="方正仿宋_GBK"/>
        </w:rPr>
      </w:pPr>
      <w:r>
        <w:rPr>
          <w:rFonts w:hint="eastAsia" w:ascii="方正楷体_GBK" w:hAnsi="方正楷体_GBK" w:eastAsia="方正楷体_GBK" w:cs="方正楷体_GBK"/>
          <w:sz w:val="32"/>
          <w:szCs w:val="32"/>
        </w:rPr>
        <w:t>（八）</w:t>
      </w:r>
      <w:r>
        <w:rPr>
          <w:rFonts w:hint="eastAsia" w:ascii="方正楷体_GBK" w:hAnsi="方正楷体_GBK" w:eastAsia="方正楷体_GBK" w:cs="方正楷体_GBK"/>
          <w:color w:val="000000"/>
          <w:sz w:val="32"/>
          <w:szCs w:val="32"/>
        </w:rPr>
        <w:t>区新城建管委、凤凰湖管委会、三教管委会、港桥管委会主要职责</w:t>
      </w:r>
      <w:r>
        <w:rPr>
          <w:rFonts w:hint="eastAsia" w:ascii="方正仿宋_GBK" w:hAnsi="方正仿宋_GBK" w:eastAsia="方正仿宋_GBK" w:cs="方正仿宋_GBK"/>
          <w:sz w:val="32"/>
          <w:szCs w:val="32"/>
        </w:rPr>
        <w:t>。一是负责市政管辖区内排水设施日常监督管理；二是负责督促市政管辖区内招商引资企业完善接（改）沟许可审批和排水许可审批；三是负责市政管辖区内缺失和问题管网的普查及补建，按时完成排水管网年度建设计划编制并将竣工资料移交区住房城乡建委备案存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方正仿宋_GBK" w:hAnsi="方正仿宋_GBK" w:eastAsia="方正仿宋_GBK" w:cs="方正仿宋_GBK"/>
        </w:rPr>
      </w:pPr>
      <w:r>
        <w:rPr>
          <w:rFonts w:hint="eastAsia" w:ascii="方正楷体_GBK" w:hAnsi="方正楷体_GBK" w:eastAsia="方正楷体_GBK" w:cs="方正楷体_GBK"/>
          <w:sz w:val="32"/>
          <w:szCs w:val="32"/>
        </w:rPr>
        <w:t>（九）镇街主要职责。</w:t>
      </w:r>
      <w:r>
        <w:rPr>
          <w:rFonts w:hint="eastAsia" w:ascii="方正仿宋_GBK" w:hAnsi="方正仿宋_GBK" w:eastAsia="方正仿宋_GBK" w:cs="方正仿宋_GBK"/>
          <w:sz w:val="32"/>
          <w:szCs w:val="32"/>
        </w:rPr>
        <w:t>一是负责辖区排水设施日常监督管理；二是按区住房城乡建委的委托办理辖区内生活小区、商业区和相关企业的排水许可审批；三是配合运营单位对辖区排水设施进行应急抢修。</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方正仿宋_GBK" w:hAnsi="Times New Roman" w:eastAsia="方正仿宋_GBK" w:cs="Times New Roman"/>
          <w:kern w:val="2"/>
          <w:sz w:val="32"/>
          <w:szCs w:val="32"/>
        </w:rPr>
      </w:pPr>
      <w:r>
        <w:rPr>
          <w:rFonts w:hint="eastAsia" w:ascii="方正黑体_GBK" w:hAnsi="Times New Roman" w:eastAsia="方正黑体_GBK" w:cs="Times New Roman"/>
          <w:kern w:val="2"/>
          <w:sz w:val="32"/>
          <w:szCs w:val="32"/>
        </w:rPr>
        <w:t>第十五条</w:t>
      </w:r>
      <w:r>
        <w:rPr>
          <w:rFonts w:ascii="方正黑体_GBK" w:hAnsi="Times New Roman" w:eastAsia="方正黑体_GBK" w:cs="Times New Roman"/>
          <w:kern w:val="2"/>
          <w:sz w:val="32"/>
          <w:szCs w:val="32"/>
        </w:rPr>
        <w:t xml:space="preserve">  </w:t>
      </w:r>
      <w:r>
        <w:rPr>
          <w:rFonts w:hint="eastAsia" w:ascii="Times New Roman" w:hAnsi="Times New Roman" w:eastAsia="方正仿宋_GBK" w:cs="Times New Roman"/>
          <w:sz w:val="32"/>
          <w:szCs w:val="32"/>
        </w:rPr>
        <w:t>运营单位运行管理人员管理不善或玩忽职守造成严重后果或构成犯罪的，依法追究其法律责任。行政主管部门监管人员监管不力、滥用职权、徇私舞弊的，依法依纪给予处分，构成犯罪的，依法追究刑事责任。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第十六条</w:t>
      </w:r>
      <w:r>
        <w:rPr>
          <w:rFonts w:ascii="方正黑体_GBK" w:hAnsi="方正黑体_GBK" w:eastAsia="方正黑体_GBK" w:cs="方正黑体_GBK"/>
          <w:sz w:val="32"/>
          <w:szCs w:val="32"/>
        </w:rPr>
        <w:t xml:space="preserve">  </w:t>
      </w:r>
      <w:r>
        <w:rPr>
          <w:rFonts w:hint="eastAsia" w:ascii="方正仿宋_GBK" w:hAnsi="方正仿宋_GBK" w:eastAsia="方正仿宋_GBK" w:cs="方正仿宋_GBK"/>
          <w:sz w:val="32"/>
          <w:szCs w:val="32"/>
        </w:rPr>
        <w:t>本办法自印发之日起施行。</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Times New Roman" w:hAnsi="Times New Roman" w:eastAsia="方正仿宋_GBK" w:cs="Times New Roman"/>
          <w:sz w:val="32"/>
          <w:szCs w:val="32"/>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snapToGrid w:val="0"/>
        <w:spacing w:line="600" w:lineRule="exact"/>
        <w:jc w:val="center"/>
        <w:textAlignment w:val="auto"/>
        <w:rPr>
          <w:rFonts w:eastAsia="方正小标宋_GBK"/>
          <w:sz w:val="44"/>
          <w:szCs w:val="44"/>
        </w:rPr>
      </w:pPr>
      <w:r>
        <w:rPr>
          <w:rFonts w:eastAsia="方正仿宋_GBK"/>
          <w:sz w:val="32"/>
          <w:szCs w:val="32"/>
        </w:rPr>
        <w:br w:type="page"/>
      </w:r>
      <w:r>
        <w:rPr>
          <w:rFonts w:hint="eastAsia" w:eastAsia="方正小标宋_GBK"/>
          <w:sz w:val="44"/>
          <w:szCs w:val="44"/>
        </w:rPr>
        <w:t>永川区城镇化粪池长效管理办法（试行）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eastAsia="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eastAsia="方正仿宋_GBK"/>
          <w:sz w:val="32"/>
          <w:szCs w:val="32"/>
        </w:rPr>
      </w:pPr>
      <w:r>
        <w:rPr>
          <w:rFonts w:hint="eastAsia" w:ascii="方正黑体_GBK" w:eastAsia="方正黑体_GBK"/>
          <w:bCs/>
          <w:sz w:val="32"/>
          <w:szCs w:val="32"/>
        </w:rPr>
        <w:t>第一条</w:t>
      </w:r>
      <w:r>
        <w:rPr>
          <w:rFonts w:eastAsia="方正仿宋_GBK"/>
          <w:sz w:val="32"/>
          <w:szCs w:val="32"/>
        </w:rPr>
        <w:t xml:space="preserve">  </w:t>
      </w:r>
      <w:r>
        <w:rPr>
          <w:rFonts w:hint="eastAsia" w:eastAsia="方正仿宋_GBK"/>
          <w:sz w:val="32"/>
          <w:szCs w:val="32"/>
        </w:rPr>
        <w:t>为加强我区化粪池管理，规范粪便清掏、清运市场，遏制和预防偷排乱倒粪便行为，提高粪便无害化处理率和对粪便资源化利用水平，维护城市管理秩序和市容环境卫生，依据《中华人民共和国固体废物污染环境防治法》、《城市生活垃圾管理办法》和《重庆市市容环境卫生管理条例》等法律法规，结合我区实际，制定本办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eastAsia="方正仿宋_GBK"/>
          <w:sz w:val="32"/>
          <w:szCs w:val="32"/>
        </w:rPr>
      </w:pPr>
      <w:r>
        <w:rPr>
          <w:rFonts w:hint="eastAsia" w:ascii="方正黑体_GBK" w:eastAsia="方正黑体_GBK"/>
          <w:bCs/>
          <w:sz w:val="32"/>
          <w:szCs w:val="32"/>
        </w:rPr>
        <w:t>第二条</w:t>
      </w:r>
      <w:r>
        <w:rPr>
          <w:rFonts w:eastAsia="方正仿宋_GBK"/>
          <w:sz w:val="32"/>
          <w:szCs w:val="32"/>
        </w:rPr>
        <w:t xml:space="preserve">  </w:t>
      </w:r>
      <w:r>
        <w:rPr>
          <w:rFonts w:hint="eastAsia" w:eastAsia="方正仿宋_GBK"/>
          <w:sz w:val="32"/>
          <w:szCs w:val="32"/>
        </w:rPr>
        <w:t>我区化粪池管理按照辖区负责、属地管理的模式，化粪池的产权单位、使用单位或物业管理公司为第一责任人，负责化粪池的清掏、管理工作；各镇街、高新区凤凰湖产业园负责对辖区内化粪池监督管理。区新城建管委负责对市政管辖区内自建自管的安置小区，自建的在建项目内化粪池监督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eastAsia="方正仿宋_GBK"/>
          <w:sz w:val="32"/>
          <w:szCs w:val="32"/>
        </w:rPr>
      </w:pPr>
      <w:r>
        <w:rPr>
          <w:rFonts w:hint="eastAsia" w:ascii="方正黑体_GBK" w:eastAsia="方正黑体_GBK"/>
          <w:bCs/>
          <w:sz w:val="32"/>
          <w:szCs w:val="32"/>
        </w:rPr>
        <w:t>第三条</w:t>
      </w:r>
      <w:r>
        <w:rPr>
          <w:rFonts w:eastAsia="方正仿宋_GBK"/>
          <w:sz w:val="32"/>
          <w:szCs w:val="32"/>
        </w:rPr>
        <w:t xml:space="preserve">  </w:t>
      </w:r>
      <w:r>
        <w:rPr>
          <w:rFonts w:hint="eastAsia" w:eastAsia="方正仿宋_GBK"/>
          <w:sz w:val="32"/>
          <w:szCs w:val="32"/>
        </w:rPr>
        <w:t>各镇街、高新区凤凰湖产业园负责对辖区内商场、车站、医院、学校、加油站、老旧居民小区（开放式小区和单体楼）、农贸市场、机关企事业单位、社团组织、新建小区等场所的化粪池进行年度普查。区新城建管委负责对市政管辖区内自建自管的安置小区，自管农贸市场、自建的在建项目等场所的化粪池进行年度普查。填写《永川区城镇化粪池普查登记表》，报区城市管理局。</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eastAsia="方正仿宋_GBK"/>
          <w:sz w:val="32"/>
          <w:szCs w:val="32"/>
        </w:rPr>
      </w:pPr>
      <w:r>
        <w:rPr>
          <w:rFonts w:hint="eastAsia" w:ascii="方正黑体_GBK" w:eastAsia="方正黑体_GBK"/>
          <w:bCs/>
          <w:sz w:val="32"/>
          <w:szCs w:val="32"/>
        </w:rPr>
        <w:t>第四条</w:t>
      </w:r>
      <w:r>
        <w:rPr>
          <w:rFonts w:eastAsia="方正仿宋_GBK"/>
          <w:sz w:val="32"/>
          <w:szCs w:val="32"/>
        </w:rPr>
        <w:t xml:space="preserve">  </w:t>
      </w:r>
      <w:r>
        <w:rPr>
          <w:rFonts w:hint="eastAsia" w:eastAsia="方正仿宋_GBK"/>
          <w:sz w:val="32"/>
          <w:szCs w:val="32"/>
        </w:rPr>
        <w:t>各镇街、新城建管委、高新区凤凰湖产业园负责与辖区内化粪池产权单位（或管理单位）签订《永川区城镇化粪池运行管理责任书》，对存在安全隐患的设施下达《永川区城镇化粪池整改通知书》，提出整改意见，做好督查督办工作。化粪池产权单位（或管理单位）应做好化粪池的安全监管工作，发生安全事故或出现环境污染事件，按规定追究相关责任人的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eastAsia="方正仿宋_GBK"/>
          <w:sz w:val="32"/>
          <w:szCs w:val="32"/>
        </w:rPr>
      </w:pPr>
      <w:r>
        <w:rPr>
          <w:rFonts w:hint="eastAsia" w:ascii="方正黑体_GBK" w:eastAsia="方正黑体_GBK"/>
          <w:bCs/>
          <w:sz w:val="32"/>
          <w:szCs w:val="32"/>
        </w:rPr>
        <w:t>第五条</w:t>
      </w:r>
      <w:r>
        <w:rPr>
          <w:rFonts w:eastAsia="方正仿宋_GBK"/>
          <w:sz w:val="32"/>
          <w:szCs w:val="32"/>
        </w:rPr>
        <w:t xml:space="preserve">  </w:t>
      </w:r>
      <w:r>
        <w:rPr>
          <w:rFonts w:hint="eastAsia" w:eastAsia="方正仿宋_GBK"/>
          <w:sz w:val="32"/>
          <w:szCs w:val="32"/>
        </w:rPr>
        <w:t>各镇街、新城建设管理委员会、高新区凤凰湖产业园要明确所属市政环卫部门对辖区内化粪池进行定期、不定期的巡查、检查，并负责对化粪池清掏工作进行检查。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eastAsia="方正仿宋_GBK"/>
          <w:sz w:val="32"/>
          <w:szCs w:val="32"/>
        </w:rPr>
      </w:pPr>
      <w:r>
        <w:rPr>
          <w:rFonts w:hint="eastAsia" w:ascii="方正黑体_GBK" w:eastAsia="方正黑体_GBK"/>
          <w:bCs/>
          <w:sz w:val="32"/>
          <w:szCs w:val="32"/>
        </w:rPr>
        <w:t>第六条</w:t>
      </w:r>
      <w:r>
        <w:rPr>
          <w:rFonts w:eastAsia="方正仿宋_GBK"/>
          <w:sz w:val="32"/>
          <w:szCs w:val="32"/>
        </w:rPr>
        <w:t xml:space="preserve">  </w:t>
      </w:r>
      <w:r>
        <w:rPr>
          <w:rFonts w:hint="eastAsia" w:eastAsia="方正仿宋_GBK"/>
          <w:sz w:val="32"/>
          <w:szCs w:val="32"/>
        </w:rPr>
        <w:t>化粪池使用单位或产权单位负责所属化粪池按规定时限进行清掏及维修，确保池体完好，出、入水管道畅通，功能正常。</w:t>
      </w:r>
    </w:p>
    <w:p>
      <w:pPr>
        <w:keepNext w:val="0"/>
        <w:keepLines w:val="0"/>
        <w:pageBreakBefore w:val="0"/>
        <w:widowControl w:val="0"/>
        <w:kinsoku/>
        <w:wordWrap/>
        <w:overflowPunct/>
        <w:topLinePunct w:val="0"/>
        <w:autoSpaceDE/>
        <w:autoSpaceDN/>
        <w:bidi w:val="0"/>
        <w:adjustRightInd w:val="0"/>
        <w:snapToGrid w:val="0"/>
        <w:spacing w:line="600" w:lineRule="exact"/>
        <w:ind w:firstLine="645"/>
        <w:textAlignment w:val="auto"/>
        <w:rPr>
          <w:rFonts w:eastAsia="方正仿宋_GBK"/>
          <w:sz w:val="32"/>
          <w:szCs w:val="32"/>
        </w:rPr>
      </w:pPr>
      <w:r>
        <w:rPr>
          <w:rFonts w:hint="eastAsia" w:ascii="方正黑体_GBK" w:eastAsia="方正黑体_GBK"/>
          <w:bCs/>
          <w:sz w:val="32"/>
          <w:szCs w:val="32"/>
        </w:rPr>
        <w:t>第七条</w:t>
      </w:r>
      <w:r>
        <w:rPr>
          <w:rFonts w:eastAsia="方正楷体_GBK"/>
          <w:sz w:val="32"/>
          <w:szCs w:val="32"/>
        </w:rPr>
        <w:t xml:space="preserve">  </w:t>
      </w:r>
      <w:r>
        <w:rPr>
          <w:rFonts w:hint="eastAsia" w:eastAsia="方正仿宋_GBK"/>
          <w:sz w:val="32"/>
          <w:szCs w:val="32"/>
        </w:rPr>
        <w:t>凡在我区开展化粪池清掏工作的单位和个人，应按《永川区城镇化粪池清掏作业规范》开展作业，确保安全无事故。</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eastAsia="方正仿宋_GBK"/>
          <w:sz w:val="32"/>
          <w:szCs w:val="32"/>
        </w:rPr>
      </w:pPr>
      <w:r>
        <w:rPr>
          <w:rFonts w:hint="eastAsia" w:ascii="方正黑体_GBK" w:eastAsia="方正黑体_GBK"/>
          <w:bCs/>
          <w:sz w:val="32"/>
          <w:szCs w:val="32"/>
        </w:rPr>
        <w:t>第八条</w:t>
      </w:r>
      <w:r>
        <w:rPr>
          <w:rFonts w:eastAsia="方正仿宋_GBK"/>
          <w:b/>
          <w:bCs/>
          <w:sz w:val="32"/>
          <w:szCs w:val="32"/>
        </w:rPr>
        <w:t xml:space="preserve">  </w:t>
      </w:r>
      <w:r>
        <w:rPr>
          <w:rFonts w:hint="eastAsia" w:eastAsia="方正仿宋_GBK"/>
          <w:sz w:val="32"/>
          <w:szCs w:val="32"/>
        </w:rPr>
        <w:t>各镇街、各职能部门要高度重视化粪池的清掏管理工作。把该项工作纳入本单位的年度考核工作，每季度开展一次考核工作。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eastAsia="方正仿宋_GBK"/>
          <w:sz w:val="32"/>
          <w:szCs w:val="32"/>
        </w:rPr>
      </w:pPr>
      <w:r>
        <w:rPr>
          <w:rFonts w:hint="eastAsia" w:ascii="方正黑体_GBK" w:eastAsia="方正黑体_GBK"/>
          <w:bCs/>
          <w:sz w:val="32"/>
          <w:szCs w:val="32"/>
        </w:rPr>
        <w:t>第九条</w:t>
      </w:r>
      <w:r>
        <w:rPr>
          <w:rFonts w:eastAsia="方正仿宋_GBK"/>
          <w:b/>
          <w:bCs/>
          <w:sz w:val="32"/>
          <w:szCs w:val="32"/>
        </w:rPr>
        <w:t xml:space="preserve">  </w:t>
      </w:r>
      <w:r>
        <w:rPr>
          <w:rFonts w:hint="eastAsia" w:eastAsia="方正仿宋_GBK"/>
          <w:sz w:val="32"/>
          <w:szCs w:val="32"/>
        </w:rPr>
        <w:t>商场、车站、医院、学校、加油站等人流量密集区域的化粪池每</w:t>
      </w:r>
      <w:r>
        <w:rPr>
          <w:rFonts w:eastAsia="方正仿宋_GBK"/>
          <w:sz w:val="32"/>
          <w:szCs w:val="32"/>
        </w:rPr>
        <w:t>3</w:t>
      </w:r>
      <w:r>
        <w:rPr>
          <w:rFonts w:hint="eastAsia" w:eastAsia="方正仿宋_GBK"/>
          <w:sz w:val="32"/>
          <w:szCs w:val="32"/>
        </w:rPr>
        <w:t>个月清掏一次；老旧居民小区（开放式小区和单体楼）、农贸市场、公共厕所化粪池每</w:t>
      </w:r>
      <w:r>
        <w:rPr>
          <w:rFonts w:eastAsia="方正仿宋_GBK"/>
          <w:sz w:val="32"/>
          <w:szCs w:val="32"/>
        </w:rPr>
        <w:t>6</w:t>
      </w:r>
      <w:r>
        <w:rPr>
          <w:rFonts w:hint="eastAsia" w:eastAsia="方正仿宋_GBK"/>
          <w:sz w:val="32"/>
          <w:szCs w:val="32"/>
        </w:rPr>
        <w:t>个月清掏一次；机关企事业单位、社团组织、新建小区等化粪池每</w:t>
      </w:r>
      <w:r>
        <w:rPr>
          <w:rFonts w:eastAsia="方正仿宋_GBK"/>
          <w:sz w:val="32"/>
          <w:szCs w:val="32"/>
        </w:rPr>
        <w:t>12</w:t>
      </w:r>
      <w:r>
        <w:rPr>
          <w:rFonts w:hint="eastAsia" w:eastAsia="方正仿宋_GBK"/>
          <w:sz w:val="32"/>
          <w:szCs w:val="32"/>
        </w:rPr>
        <w:t>个月清掏一次。在日常管理巡查中发现问题立即清掏处理。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eastAsia="方正仿宋_GBK"/>
          <w:sz w:val="32"/>
          <w:szCs w:val="32"/>
        </w:rPr>
      </w:pPr>
      <w:r>
        <w:rPr>
          <w:rFonts w:hint="eastAsia" w:ascii="方正黑体_GBK" w:eastAsia="方正黑体_GBK"/>
          <w:bCs/>
          <w:sz w:val="32"/>
          <w:szCs w:val="32"/>
        </w:rPr>
        <w:t>第十条</w:t>
      </w:r>
      <w:r>
        <w:rPr>
          <w:rFonts w:eastAsia="方正仿宋_GBK"/>
          <w:b/>
          <w:bCs/>
          <w:sz w:val="32"/>
          <w:szCs w:val="32"/>
        </w:rPr>
        <w:t xml:space="preserve">  </w:t>
      </w:r>
      <w:r>
        <w:rPr>
          <w:rFonts w:hint="eastAsia" w:eastAsia="方正仿宋_GBK"/>
          <w:sz w:val="32"/>
          <w:szCs w:val="32"/>
        </w:rPr>
        <w:t>各镇街、区政府相关部门要做好突发事故的应对工作，建立健全应急保障制度，建立应急处置队伍、制定完善的应急预案，定期开展应急救援演练，做好应对突发事故的人力、物力、财力、运输、医疗卫生、通信保障等工作，有效整合各类资源，保障有力的突发事件应急体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eastAsia="方正仿宋_GBK"/>
          <w:sz w:val="32"/>
          <w:szCs w:val="32"/>
        </w:rPr>
      </w:pPr>
      <w:r>
        <w:rPr>
          <w:rFonts w:hint="eastAsia" w:ascii="方正黑体_GBK" w:eastAsia="方正黑体_GBK"/>
          <w:bCs/>
          <w:sz w:val="32"/>
          <w:szCs w:val="32"/>
        </w:rPr>
        <w:t>第十一条</w:t>
      </w:r>
      <w:r>
        <w:rPr>
          <w:rFonts w:eastAsia="方正仿宋_GBK"/>
          <w:b/>
          <w:bCs/>
          <w:sz w:val="32"/>
          <w:szCs w:val="32"/>
        </w:rPr>
        <w:t xml:space="preserve">  </w:t>
      </w:r>
      <w:r>
        <w:rPr>
          <w:rFonts w:hint="eastAsia" w:eastAsia="方正仿宋_GBK"/>
          <w:sz w:val="32"/>
          <w:szCs w:val="32"/>
        </w:rPr>
        <w:t>区政府相关部门根据职责负责化粪池设施监督管理、各镇街、高新区凤凰湖产业园具体负责所辖区域化粪池设施维护监督管理和安全工作，区新城建管委具体负责市政管辖区域内的安置小区、自建的在建项目化粪池设施维护监督管理和安全工作。区政府有关部门、各镇街具体监督管理职责如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eastAsia="方正仿宋_GBK"/>
          <w:sz w:val="32"/>
          <w:szCs w:val="32"/>
        </w:rPr>
      </w:pPr>
      <w:r>
        <w:rPr>
          <w:rFonts w:hint="eastAsia" w:eastAsia="方正仿宋_GBK"/>
          <w:sz w:val="32"/>
          <w:szCs w:val="32"/>
        </w:rPr>
        <w:t>（一）区城市管理局牵头负责化粪池常态化监督管理，负责对全区化粪池清掏行业进行监管、指导；督促指导全区各化粪池责任单位开展辖区化粪池清掏、气体监测工作。负责监督、管理全区化粪池安全监控系统的运行、维护。</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eastAsia="方正仿宋_GBK"/>
          <w:sz w:val="32"/>
          <w:szCs w:val="32"/>
        </w:rPr>
      </w:pPr>
      <w:r>
        <w:rPr>
          <w:rFonts w:hint="eastAsia" w:eastAsia="方正仿宋_GBK"/>
          <w:sz w:val="32"/>
          <w:szCs w:val="32"/>
        </w:rPr>
        <w:t>（二）区教委督促全区教育行业对化粪池进行管理、清掏、维修、维护。</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eastAsia="方正仿宋_GBK"/>
          <w:sz w:val="32"/>
          <w:szCs w:val="32"/>
        </w:rPr>
      </w:pPr>
      <w:r>
        <w:rPr>
          <w:rFonts w:hint="eastAsia" w:eastAsia="方正仿宋_GBK"/>
          <w:sz w:val="32"/>
          <w:szCs w:val="32"/>
        </w:rPr>
        <w:t>（三）区财政局、镇街和园区财政部门负责将辖区公共设施附属化粪池管理、清掏和维护经费纳入相应设施管护经费中予以保障。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eastAsia="方正仿宋_GBK"/>
          <w:sz w:val="32"/>
          <w:szCs w:val="32"/>
        </w:rPr>
      </w:pPr>
      <w:r>
        <w:rPr>
          <w:rFonts w:hint="eastAsia" w:eastAsia="方正仿宋_GBK"/>
          <w:sz w:val="32"/>
          <w:szCs w:val="32"/>
        </w:rPr>
        <w:t>（四）区生态环境局依法对全区违法排污的行为予以查处。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eastAsia="方正仿宋_GBK"/>
          <w:sz w:val="32"/>
          <w:szCs w:val="32"/>
        </w:rPr>
      </w:pPr>
      <w:r>
        <w:rPr>
          <w:rFonts w:hint="eastAsia" w:eastAsia="方正仿宋_GBK"/>
          <w:sz w:val="32"/>
          <w:szCs w:val="32"/>
        </w:rPr>
        <w:t>（五）区住房城乡建委依据有关规范标准，对全区化粪池的设计、施工、验收等建设过程实施监督管理。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eastAsia="方正仿宋_GBK"/>
          <w:sz w:val="32"/>
          <w:szCs w:val="32"/>
        </w:rPr>
      </w:pPr>
      <w:r>
        <w:rPr>
          <w:rFonts w:hint="eastAsia" w:eastAsia="方正仿宋_GBK"/>
          <w:sz w:val="32"/>
          <w:szCs w:val="32"/>
        </w:rPr>
        <w:t>（六）区卫生健康委负责督促全区医疗机构的化粪池进行管理、清掏、维修、维护。</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eastAsia="方正仿宋_GBK"/>
          <w:sz w:val="32"/>
          <w:szCs w:val="32"/>
        </w:rPr>
      </w:pPr>
      <w:r>
        <w:rPr>
          <w:rFonts w:hint="eastAsia" w:eastAsia="方正仿宋_GBK"/>
          <w:sz w:val="32"/>
          <w:szCs w:val="32"/>
        </w:rPr>
        <w:t>（七）区应急管理局负责对化粪池清掏过程中发生的意外情况进行应急处置。</w:t>
      </w:r>
    </w:p>
    <w:p>
      <w:pPr>
        <w:keepNext w:val="0"/>
        <w:keepLines w:val="0"/>
        <w:pageBreakBefore w:val="0"/>
        <w:widowControl w:val="0"/>
        <w:kinsoku/>
        <w:wordWrap/>
        <w:overflowPunct/>
        <w:topLinePunct w:val="0"/>
        <w:autoSpaceDE/>
        <w:autoSpaceDN/>
        <w:bidi w:val="0"/>
        <w:adjustRightInd w:val="0"/>
        <w:snapToGrid w:val="0"/>
        <w:spacing w:line="600" w:lineRule="exact"/>
        <w:ind w:firstLine="627" w:firstLineChars="196"/>
        <w:textAlignment w:val="auto"/>
        <w:rPr>
          <w:rFonts w:eastAsia="方正仿宋_GBK"/>
          <w:sz w:val="32"/>
          <w:szCs w:val="32"/>
        </w:rPr>
      </w:pPr>
      <w:r>
        <w:rPr>
          <w:rFonts w:hint="eastAsia" w:ascii="方正黑体_GBK" w:eastAsia="方正黑体_GBK"/>
          <w:bCs/>
          <w:sz w:val="32"/>
          <w:szCs w:val="32"/>
        </w:rPr>
        <w:t>第十二条</w:t>
      </w:r>
      <w:r>
        <w:rPr>
          <w:rFonts w:eastAsia="方正仿宋_GBK"/>
          <w:sz w:val="32"/>
          <w:szCs w:val="32"/>
        </w:rPr>
        <w:t xml:space="preserve">  </w:t>
      </w:r>
      <w:r>
        <w:rPr>
          <w:rFonts w:hint="eastAsia" w:eastAsia="方正仿宋_GBK"/>
          <w:sz w:val="32"/>
          <w:szCs w:val="32"/>
        </w:rPr>
        <w:t>本办法自印发之日起施行。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eastAsia="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eastAsia="方正仿宋_GBK"/>
          <w:sz w:val="32"/>
          <w:szCs w:val="32"/>
        </w:rPr>
      </w:pPr>
      <w:r>
        <w:rPr>
          <w:rFonts w:hint="eastAsia" w:eastAsia="方正仿宋_GBK"/>
          <w:sz w:val="32"/>
          <w:szCs w:val="32"/>
        </w:rPr>
        <w:t>附件：</w:t>
      </w:r>
      <w:r>
        <w:rPr>
          <w:rFonts w:eastAsia="方正仿宋_GBK"/>
          <w:sz w:val="32"/>
          <w:szCs w:val="32"/>
        </w:rPr>
        <w:t>1</w:t>
      </w:r>
      <w:r>
        <w:rPr>
          <w:rFonts w:hint="eastAsia" w:eastAsia="方正仿宋_GBK"/>
          <w:sz w:val="32"/>
          <w:szCs w:val="32"/>
        </w:rPr>
        <w:t>．永川区城镇化粪池运行管理责任书</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eastAsia="方正仿宋_GBK"/>
          <w:sz w:val="32"/>
          <w:szCs w:val="32"/>
        </w:rPr>
      </w:pPr>
      <w:r>
        <w:rPr>
          <w:rFonts w:eastAsia="方正仿宋_GBK"/>
          <w:sz w:val="32"/>
          <w:szCs w:val="32"/>
        </w:rPr>
        <w:t xml:space="preserve">      2</w:t>
      </w:r>
      <w:r>
        <w:rPr>
          <w:rFonts w:hint="eastAsia" w:eastAsia="方正仿宋_GBK"/>
          <w:sz w:val="32"/>
          <w:szCs w:val="32"/>
        </w:rPr>
        <w:t>．永川区城镇化粪池普查登记表</w:t>
      </w:r>
    </w:p>
    <w:p>
      <w:pPr>
        <w:keepNext w:val="0"/>
        <w:keepLines w:val="0"/>
        <w:pageBreakBefore w:val="0"/>
        <w:widowControl w:val="0"/>
        <w:kinsoku/>
        <w:wordWrap/>
        <w:overflowPunct/>
        <w:topLinePunct w:val="0"/>
        <w:autoSpaceDE/>
        <w:autoSpaceDN/>
        <w:bidi w:val="0"/>
        <w:adjustRightInd w:val="0"/>
        <w:snapToGrid w:val="0"/>
        <w:spacing w:line="600" w:lineRule="exact"/>
        <w:ind w:left="1598" w:leftChars="304" w:hanging="960" w:hangingChars="300"/>
        <w:textAlignment w:val="auto"/>
        <w:rPr>
          <w:rFonts w:eastAsia="方正仿宋_GBK"/>
          <w:sz w:val="32"/>
          <w:szCs w:val="32"/>
        </w:rPr>
      </w:pPr>
      <w:r>
        <w:rPr>
          <w:rFonts w:eastAsia="方正仿宋_GBK"/>
          <w:sz w:val="32"/>
          <w:szCs w:val="32"/>
        </w:rPr>
        <w:t xml:space="preserve">      3</w:t>
      </w:r>
      <w:r>
        <w:rPr>
          <w:rFonts w:hint="eastAsia" w:eastAsia="方正仿宋_GBK"/>
          <w:sz w:val="32"/>
          <w:szCs w:val="32"/>
        </w:rPr>
        <w:t>．永川区城镇化粪池整改通知书</w:t>
      </w:r>
    </w:p>
    <w:p>
      <w:pPr>
        <w:keepNext w:val="0"/>
        <w:keepLines w:val="0"/>
        <w:pageBreakBefore w:val="0"/>
        <w:widowControl w:val="0"/>
        <w:kinsoku/>
        <w:wordWrap/>
        <w:overflowPunct/>
        <w:topLinePunct w:val="0"/>
        <w:autoSpaceDE/>
        <w:autoSpaceDN/>
        <w:bidi w:val="0"/>
        <w:adjustRightInd w:val="0"/>
        <w:snapToGrid w:val="0"/>
        <w:spacing w:line="600" w:lineRule="exact"/>
        <w:ind w:left="1598" w:leftChars="304" w:hanging="960" w:hangingChars="300"/>
        <w:textAlignment w:val="auto"/>
        <w:rPr>
          <w:rFonts w:eastAsia="方正仿宋_GBK"/>
          <w:sz w:val="32"/>
          <w:szCs w:val="32"/>
        </w:rPr>
      </w:pPr>
      <w:r>
        <w:rPr>
          <w:rFonts w:eastAsia="方正仿宋_GBK"/>
          <w:sz w:val="32"/>
          <w:szCs w:val="32"/>
        </w:rPr>
        <w:t xml:space="preserve">      4</w:t>
      </w:r>
      <w:r>
        <w:rPr>
          <w:rFonts w:hint="eastAsia" w:eastAsia="方正仿宋_GBK"/>
          <w:sz w:val="32"/>
          <w:szCs w:val="32"/>
        </w:rPr>
        <w:t>．永川区城镇化粪池清掏作业规范</w:t>
      </w:r>
    </w:p>
    <w:p>
      <w:pPr>
        <w:keepNext w:val="0"/>
        <w:keepLines w:val="0"/>
        <w:pageBreakBefore w:val="0"/>
        <w:widowControl w:val="0"/>
        <w:kinsoku/>
        <w:wordWrap/>
        <w:overflowPunct/>
        <w:topLinePunct w:val="0"/>
        <w:autoSpaceDE/>
        <w:autoSpaceDN/>
        <w:bidi w:val="0"/>
        <w:snapToGrid w:val="0"/>
        <w:spacing w:line="600" w:lineRule="exact"/>
        <w:textAlignment w:val="auto"/>
        <w:rPr>
          <w:rFonts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snapToGrid w:val="0"/>
        <w:spacing w:line="600" w:lineRule="exact"/>
        <w:textAlignment w:val="auto"/>
        <w:rPr>
          <w:rFonts w:ascii="方正黑体_GBK" w:hAnsi="方正黑体_GBK" w:eastAsia="方正黑体_GBK" w:cs="方正黑体_GBK"/>
          <w:sz w:val="32"/>
          <w:szCs w:val="32"/>
        </w:rPr>
      </w:pPr>
      <w:r>
        <w:rPr>
          <w:rFonts w:ascii="方正黑体_GBK" w:hAnsi="方正黑体_GBK" w:eastAsia="方正黑体_GBK" w:cs="方正黑体_GBK"/>
          <w:sz w:val="32"/>
          <w:szCs w:val="32"/>
        </w:rPr>
        <w:br w:type="page"/>
      </w:r>
      <w:r>
        <w:rPr>
          <w:rFonts w:hint="eastAsia" w:ascii="方正黑体_GBK" w:hAnsi="方正黑体_GBK" w:eastAsia="方正黑体_GBK" w:cs="方正黑体_GBK"/>
          <w:sz w:val="32"/>
          <w:szCs w:val="32"/>
        </w:rPr>
        <w:t>附件</w:t>
      </w:r>
      <w:r>
        <w:rPr>
          <w:rFonts w:ascii="方正黑体_GBK" w:hAnsi="方正黑体_GBK" w:eastAsia="方正黑体_GBK" w:cs="方正黑体_GBK"/>
          <w:sz w:val="32"/>
          <w:szCs w:val="32"/>
        </w:rPr>
        <w:t>1</w:t>
      </w:r>
    </w:p>
    <w:p>
      <w:pPr>
        <w:keepNext w:val="0"/>
        <w:keepLines w:val="0"/>
        <w:pageBreakBefore w:val="0"/>
        <w:widowControl w:val="0"/>
        <w:kinsoku/>
        <w:wordWrap/>
        <w:overflowPunct/>
        <w:topLinePunct w:val="0"/>
        <w:autoSpaceDE/>
        <w:autoSpaceDN/>
        <w:bidi w:val="0"/>
        <w:snapToGrid w:val="0"/>
        <w:spacing w:line="600" w:lineRule="exact"/>
        <w:textAlignment w:val="auto"/>
        <w:rPr>
          <w:rFonts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snapToGrid w:val="0"/>
        <w:spacing w:line="600" w:lineRule="exact"/>
        <w:jc w:val="center"/>
        <w:textAlignment w:val="auto"/>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永川区城镇化粪池运行管理责任书</w:t>
      </w:r>
    </w:p>
    <w:p>
      <w:pPr>
        <w:keepNext w:val="0"/>
        <w:keepLines w:val="0"/>
        <w:pageBreakBefore w:val="0"/>
        <w:widowControl w:val="0"/>
        <w:kinsoku/>
        <w:wordWrap/>
        <w:overflowPunct/>
        <w:topLinePunct w:val="0"/>
        <w:autoSpaceDE/>
        <w:autoSpaceDN/>
        <w:bidi w:val="0"/>
        <w:snapToGrid w:val="0"/>
        <w:spacing w:line="600" w:lineRule="exact"/>
        <w:textAlignment w:val="auto"/>
        <w:rPr>
          <w:rFonts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eastAsia="方正仿宋_GBK"/>
          <w:sz w:val="32"/>
          <w:szCs w:val="32"/>
        </w:rPr>
      </w:pPr>
      <w:r>
        <w:rPr>
          <w:rFonts w:hint="eastAsia" w:eastAsia="方正仿宋_GBK"/>
          <w:sz w:val="32"/>
          <w:szCs w:val="32"/>
        </w:rPr>
        <w:t>管理单位（镇街道）：</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eastAsia="方正仿宋_GBK"/>
          <w:sz w:val="32"/>
          <w:szCs w:val="32"/>
        </w:rPr>
      </w:pPr>
      <w:r>
        <w:rPr>
          <w:rFonts w:hint="eastAsia" w:eastAsia="方正仿宋_GBK"/>
          <w:sz w:val="32"/>
          <w:szCs w:val="32"/>
        </w:rPr>
        <w:t>责任单位（产权人或使用人）：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eastAsia="方正仿宋_GBK"/>
          <w:sz w:val="32"/>
          <w:szCs w:val="32"/>
        </w:rPr>
      </w:pPr>
      <w:r>
        <w:rPr>
          <w:rFonts w:hint="eastAsia" w:eastAsia="方正仿宋_GBK"/>
          <w:sz w:val="32"/>
          <w:szCs w:val="32"/>
        </w:rPr>
        <w:t>为加强城镇化粪池运行管理，保障人民群众生活环境及生命财产安全不受损失，切实将城镇化粪池管理维护工作落到实处，根据《重庆市人民政府关于加强城市粪便处理设施维护及安全运行管理的通知》、《重庆市市容环境卫生管理条例》要求，特制定《永川区城镇化粪池运行管理责任书》。化粪池责任单位（产权人或使用人），务必按照责任书的各项规定认真履行职责，确保城市化粪池安全无污染运行。</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eastAsia="方正仿宋_GBK"/>
          <w:sz w:val="32"/>
          <w:szCs w:val="32"/>
        </w:rPr>
      </w:pPr>
      <w:r>
        <w:rPr>
          <w:rFonts w:hint="eastAsia" w:ascii="方正黑体_GBK" w:hAnsi="方正黑体_GBK" w:eastAsia="方正黑体_GBK" w:cs="方正黑体_GBK"/>
          <w:sz w:val="32"/>
          <w:szCs w:val="32"/>
        </w:rPr>
        <w:t>一、</w:t>
      </w:r>
      <w:r>
        <w:rPr>
          <w:rFonts w:hint="eastAsia" w:eastAsia="方正仿宋_GBK"/>
          <w:sz w:val="32"/>
          <w:szCs w:val="32"/>
        </w:rPr>
        <w:t>坚持日常管理维护和巡查制度，对所属化粪池实行专人管理，并结合自身实际情况和特点，制定切实可行的工作预案和管理维护计划。</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eastAsia="方正仿宋_GBK"/>
          <w:sz w:val="32"/>
          <w:szCs w:val="32"/>
          <w:lang w:val="en-US" w:eastAsia="zh-CN"/>
        </w:rPr>
      </w:pPr>
      <w:r>
        <w:rPr>
          <w:rFonts w:hint="eastAsia" w:ascii="方正黑体_GBK" w:hAnsi="方正黑体_GBK" w:eastAsia="方正黑体_GBK" w:cs="方正黑体_GBK"/>
          <w:color w:val="000000"/>
          <w:sz w:val="32"/>
          <w:szCs w:val="32"/>
        </w:rPr>
        <w:t>二、</w:t>
      </w:r>
      <w:r>
        <w:rPr>
          <w:rFonts w:hint="eastAsia" w:eastAsia="方正仿宋_GBK"/>
          <w:color w:val="000000"/>
          <w:sz w:val="32"/>
          <w:szCs w:val="32"/>
        </w:rPr>
        <w:t>按规定周期进行清掏维护管理，预防安全事故发生。</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eastAsia="方正仿宋_GBK"/>
          <w:sz w:val="32"/>
          <w:szCs w:val="32"/>
        </w:rPr>
      </w:pPr>
      <w:r>
        <w:rPr>
          <w:rFonts w:hint="eastAsia" w:ascii="方正黑体_GBK" w:hAnsi="方正黑体_GBK" w:eastAsia="方正黑体_GBK" w:cs="方正黑体_GBK"/>
          <w:sz w:val="32"/>
          <w:szCs w:val="32"/>
        </w:rPr>
        <w:t>三、</w:t>
      </w:r>
      <w:r>
        <w:rPr>
          <w:rFonts w:hint="eastAsia" w:eastAsia="方正仿宋_GBK"/>
          <w:sz w:val="32"/>
          <w:szCs w:val="32"/>
        </w:rPr>
        <w:t>加强设施管理维护，必须设置导气管高空排放。及时整治残缺破损设施，杜绝污水横流、粪便满溢和导气管破损、沼气泄漏等现象。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eastAsia="方正仿宋_GBK"/>
          <w:sz w:val="32"/>
          <w:szCs w:val="32"/>
        </w:rPr>
      </w:pPr>
      <w:r>
        <w:rPr>
          <w:rFonts w:hint="eastAsia" w:ascii="方正黑体_GBK" w:hAnsi="方正黑体_GBK" w:eastAsia="方正黑体_GBK" w:cs="方正黑体_GBK"/>
          <w:sz w:val="32"/>
          <w:szCs w:val="32"/>
        </w:rPr>
        <w:t>四、</w:t>
      </w:r>
      <w:r>
        <w:rPr>
          <w:rFonts w:hint="eastAsia" w:eastAsia="方正仿宋_GBK"/>
          <w:sz w:val="32"/>
          <w:szCs w:val="32"/>
        </w:rPr>
        <w:t>严禁在化粪池上建设和设置建筑物、构筑物，堆码重物、停放车辆或进行其他震动、重压等活动，同时应保持周边环境整洁。</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eastAsia="方正仿宋_GBK"/>
          <w:sz w:val="32"/>
          <w:szCs w:val="32"/>
        </w:rPr>
      </w:pPr>
      <w:r>
        <w:rPr>
          <w:rFonts w:hint="eastAsia" w:ascii="方正黑体_GBK" w:hAnsi="方正黑体_GBK" w:eastAsia="方正黑体_GBK" w:cs="方正黑体_GBK"/>
          <w:sz w:val="32"/>
          <w:szCs w:val="32"/>
        </w:rPr>
        <w:t>五、</w:t>
      </w:r>
      <w:r>
        <w:rPr>
          <w:rFonts w:hint="eastAsia" w:eastAsia="方正仿宋_GBK"/>
          <w:sz w:val="32"/>
          <w:szCs w:val="32"/>
        </w:rPr>
        <w:t>在化粪池井口处设置醒目的危险警示标识，提醒市民化粪池周边严禁烟火。</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eastAsia="方正仿宋_GBK"/>
          <w:sz w:val="32"/>
          <w:szCs w:val="32"/>
        </w:rPr>
      </w:pPr>
      <w:r>
        <w:rPr>
          <w:rFonts w:hint="eastAsia" w:ascii="方正黑体_GBK" w:hAnsi="方正黑体_GBK" w:eastAsia="方正黑体_GBK" w:cs="方正黑体_GBK"/>
          <w:sz w:val="32"/>
          <w:szCs w:val="32"/>
        </w:rPr>
        <w:t>六、</w:t>
      </w:r>
      <w:r>
        <w:rPr>
          <w:rFonts w:hint="eastAsia" w:eastAsia="方正仿宋_GBK"/>
          <w:sz w:val="32"/>
          <w:szCs w:val="32"/>
        </w:rPr>
        <w:t>发现设施存在安全隐患或有突发事件发生，应立即采取有效措施及时妥善处理，并同时上报辖区镇（街道）和区环境卫生管理所。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eastAsia="方正仿宋_GBK"/>
          <w:sz w:val="32"/>
          <w:szCs w:val="32"/>
        </w:rPr>
      </w:pPr>
      <w:r>
        <w:rPr>
          <w:rFonts w:hint="eastAsia" w:ascii="方正黑体_GBK" w:hAnsi="方正黑体_GBK" w:eastAsia="方正黑体_GBK" w:cs="方正黑体_GBK"/>
          <w:sz w:val="32"/>
          <w:szCs w:val="32"/>
        </w:rPr>
        <w:t>七、</w:t>
      </w:r>
      <w:r>
        <w:rPr>
          <w:rFonts w:hint="eastAsia" w:ascii="方正仿宋_GBK" w:eastAsia="方正仿宋_GBK"/>
          <w:sz w:val="32"/>
          <w:szCs w:val="32"/>
        </w:rPr>
        <w:t>按照“谁所有谁负责，谁使用谁负责”的原则，由责任单位（产权人或使用人）承担所属设施的整治、维护管理费用。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eastAsia="方正仿宋_GBK"/>
          <w:sz w:val="32"/>
          <w:szCs w:val="32"/>
        </w:rPr>
      </w:pPr>
      <w:r>
        <w:rPr>
          <w:rFonts w:hint="eastAsia" w:ascii="方正黑体_GBK" w:hAnsi="方正黑体_GBK" w:eastAsia="方正黑体_GBK" w:cs="方正黑体_GBK"/>
          <w:sz w:val="32"/>
          <w:szCs w:val="32"/>
        </w:rPr>
        <w:t>八、</w:t>
      </w:r>
      <w:r>
        <w:rPr>
          <w:rFonts w:hint="eastAsia" w:eastAsia="方正仿宋_GBK"/>
          <w:sz w:val="32"/>
          <w:szCs w:val="32"/>
        </w:rPr>
        <w:t>因责任单位或个人履行职责不当，发生安全事故或出现环境污染事件，按规定追究相关责任人的责任。</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eastAsia="方正仿宋_GBK"/>
          <w:sz w:val="32"/>
          <w:szCs w:val="32"/>
        </w:rPr>
      </w:pPr>
      <w:r>
        <w:rPr>
          <w:rFonts w:hint="eastAsia" w:ascii="方正黑体_GBK" w:hAnsi="方正黑体_GBK" w:eastAsia="方正黑体_GBK" w:cs="方正黑体_GBK"/>
          <w:sz w:val="32"/>
          <w:szCs w:val="32"/>
        </w:rPr>
        <w:t>九、</w:t>
      </w:r>
      <w:r>
        <w:rPr>
          <w:rFonts w:hint="eastAsia" w:eastAsia="方正仿宋_GBK"/>
          <w:sz w:val="32"/>
          <w:szCs w:val="32"/>
        </w:rPr>
        <w:t>本责任书一式两份，管理单位与责任单位各执一份。</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eastAsia="方正仿宋_GBK"/>
          <w:sz w:val="32"/>
          <w:szCs w:val="32"/>
        </w:rPr>
      </w:pPr>
      <w:r>
        <w:rPr>
          <w:rFonts w:hint="eastAsia" w:eastAsia="方正仿宋_GBK"/>
          <w:sz w:val="32"/>
          <w:szCs w:val="32"/>
        </w:rPr>
        <w:t>管理单位：（盖章）</w:t>
      </w:r>
      <w:r>
        <w:rPr>
          <w:rFonts w:eastAsia="方正仿宋_GBK"/>
          <w:sz w:val="32"/>
          <w:szCs w:val="32"/>
        </w:rPr>
        <w:t xml:space="preserve">            </w:t>
      </w:r>
      <w:r>
        <w:rPr>
          <w:rFonts w:hint="eastAsia" w:eastAsia="方正仿宋_GBK"/>
          <w:sz w:val="32"/>
          <w:szCs w:val="32"/>
        </w:rPr>
        <w:t>责任单位：（盖章）</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eastAsia="方正仿宋_GBK"/>
          <w:sz w:val="32"/>
          <w:szCs w:val="32"/>
        </w:rPr>
      </w:pPr>
      <w:r>
        <w:rPr>
          <w:rFonts w:hint="eastAsia" w:eastAsia="方正仿宋_GBK"/>
          <w:sz w:val="32"/>
          <w:szCs w:val="32"/>
        </w:rPr>
        <w:t>负</w:t>
      </w:r>
      <w:r>
        <w:rPr>
          <w:rFonts w:eastAsia="方正仿宋_GBK"/>
          <w:sz w:val="32"/>
          <w:szCs w:val="32"/>
        </w:rPr>
        <w:t xml:space="preserve"> </w:t>
      </w:r>
      <w:r>
        <w:rPr>
          <w:rFonts w:hint="eastAsia" w:eastAsia="方正仿宋_GBK"/>
          <w:sz w:val="32"/>
          <w:szCs w:val="32"/>
        </w:rPr>
        <w:t>责</w:t>
      </w:r>
      <w:r>
        <w:rPr>
          <w:rFonts w:eastAsia="方正仿宋_GBK"/>
          <w:sz w:val="32"/>
          <w:szCs w:val="32"/>
        </w:rPr>
        <w:t xml:space="preserve"> </w:t>
      </w:r>
      <w:r>
        <w:rPr>
          <w:rFonts w:hint="eastAsia" w:eastAsia="方正仿宋_GBK"/>
          <w:sz w:val="32"/>
          <w:szCs w:val="32"/>
        </w:rPr>
        <w:t>人：（签字）</w:t>
      </w:r>
      <w:r>
        <w:rPr>
          <w:rFonts w:eastAsia="方正仿宋_GBK"/>
          <w:sz w:val="32"/>
          <w:szCs w:val="32"/>
        </w:rPr>
        <w:t xml:space="preserve">            </w:t>
      </w:r>
      <w:r>
        <w:rPr>
          <w:rFonts w:hint="eastAsia" w:eastAsia="方正仿宋_GBK"/>
          <w:sz w:val="32"/>
          <w:szCs w:val="32"/>
        </w:rPr>
        <w:t>负</w:t>
      </w:r>
      <w:r>
        <w:rPr>
          <w:rFonts w:eastAsia="方正仿宋_GBK"/>
          <w:sz w:val="32"/>
          <w:szCs w:val="32"/>
        </w:rPr>
        <w:t xml:space="preserve"> </w:t>
      </w:r>
      <w:r>
        <w:rPr>
          <w:rFonts w:hint="eastAsia" w:eastAsia="方正仿宋_GBK"/>
          <w:sz w:val="32"/>
          <w:szCs w:val="32"/>
        </w:rPr>
        <w:t>责</w:t>
      </w:r>
      <w:r>
        <w:rPr>
          <w:rFonts w:eastAsia="方正仿宋_GBK"/>
          <w:sz w:val="32"/>
          <w:szCs w:val="32"/>
        </w:rPr>
        <w:t xml:space="preserve"> </w:t>
      </w:r>
      <w:r>
        <w:rPr>
          <w:rFonts w:hint="eastAsia" w:eastAsia="方正仿宋_GBK"/>
          <w:sz w:val="32"/>
          <w:szCs w:val="32"/>
        </w:rPr>
        <w:t>人：（签字）</w:t>
      </w:r>
    </w:p>
    <w:p>
      <w:pPr>
        <w:keepNext w:val="0"/>
        <w:keepLines w:val="0"/>
        <w:pageBreakBefore w:val="0"/>
        <w:widowControl w:val="0"/>
        <w:kinsoku/>
        <w:wordWrap/>
        <w:overflowPunct/>
        <w:topLinePunct w:val="0"/>
        <w:autoSpaceDE/>
        <w:autoSpaceDN/>
        <w:bidi w:val="0"/>
        <w:adjustRightInd/>
        <w:snapToGrid w:val="0"/>
        <w:spacing w:line="600" w:lineRule="exact"/>
        <w:ind w:firstLine="1280" w:firstLineChars="400"/>
        <w:textAlignment w:val="auto"/>
        <w:rPr>
          <w:rFonts w:eastAsia="方正仿宋_GBK"/>
          <w:sz w:val="32"/>
          <w:szCs w:val="32"/>
        </w:rPr>
      </w:pPr>
      <w:r>
        <w:rPr>
          <w:rFonts w:hint="eastAsia" w:eastAsia="方正仿宋_GBK"/>
          <w:sz w:val="32"/>
          <w:szCs w:val="32"/>
        </w:rPr>
        <w:t>年</w:t>
      </w:r>
      <w:r>
        <w:rPr>
          <w:rFonts w:eastAsia="方正仿宋_GBK"/>
          <w:sz w:val="32"/>
          <w:szCs w:val="32"/>
        </w:rPr>
        <w:t xml:space="preserve">   </w:t>
      </w:r>
      <w:r>
        <w:rPr>
          <w:rFonts w:hint="eastAsia" w:eastAsia="方正仿宋_GBK"/>
          <w:sz w:val="32"/>
          <w:szCs w:val="32"/>
        </w:rPr>
        <w:t>月</w:t>
      </w:r>
      <w:r>
        <w:rPr>
          <w:rFonts w:eastAsia="方正仿宋_GBK"/>
          <w:sz w:val="32"/>
          <w:szCs w:val="32"/>
        </w:rPr>
        <w:t xml:space="preserve">   </w:t>
      </w:r>
      <w:r>
        <w:rPr>
          <w:rFonts w:hint="eastAsia" w:eastAsia="方正仿宋_GBK"/>
          <w:sz w:val="32"/>
          <w:szCs w:val="32"/>
        </w:rPr>
        <w:t>日</w:t>
      </w:r>
      <w:r>
        <w:rPr>
          <w:rFonts w:eastAsia="方正仿宋_GBK"/>
          <w:sz w:val="32"/>
          <w:szCs w:val="32"/>
        </w:rPr>
        <w:t xml:space="preserve">                 </w:t>
      </w:r>
      <w:r>
        <w:rPr>
          <w:rFonts w:hint="eastAsia" w:eastAsia="方正仿宋_GBK"/>
          <w:sz w:val="32"/>
          <w:szCs w:val="32"/>
        </w:rPr>
        <w:t>年</w:t>
      </w:r>
      <w:r>
        <w:rPr>
          <w:rFonts w:eastAsia="方正仿宋_GBK"/>
          <w:sz w:val="32"/>
          <w:szCs w:val="32"/>
        </w:rPr>
        <w:t xml:space="preserve">   </w:t>
      </w:r>
      <w:r>
        <w:rPr>
          <w:rFonts w:hint="eastAsia" w:eastAsia="方正仿宋_GBK"/>
          <w:sz w:val="32"/>
          <w:szCs w:val="32"/>
        </w:rPr>
        <w:t>月</w:t>
      </w:r>
      <w:r>
        <w:rPr>
          <w:rFonts w:eastAsia="方正仿宋_GBK"/>
          <w:sz w:val="32"/>
          <w:szCs w:val="32"/>
        </w:rPr>
        <w:t xml:space="preserve">   </w:t>
      </w:r>
      <w:r>
        <w:rPr>
          <w:rFonts w:hint="eastAsia" w:eastAsia="方正仿宋_GBK"/>
          <w:sz w:val="32"/>
          <w:szCs w:val="32"/>
        </w:rPr>
        <w:t>日</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eastAsia="方正仿宋_GBK"/>
          <w:sz w:val="32"/>
          <w:szCs w:val="32"/>
        </w:rPr>
      </w:pP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eastAsia="方正仿宋_GBK"/>
          <w:sz w:val="32"/>
          <w:szCs w:val="32"/>
        </w:rPr>
      </w:pP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eastAsia="方正仿宋_GBK"/>
          <w:sz w:val="32"/>
          <w:szCs w:val="32"/>
        </w:rPr>
        <w:sectPr>
          <w:headerReference r:id="rId3" w:type="default"/>
          <w:footerReference r:id="rId4" w:type="default"/>
          <w:pgSz w:w="11906" w:h="16838"/>
          <w:pgMar w:top="2098" w:right="1474" w:bottom="1984" w:left="1587" w:header="851" w:footer="1474" w:gutter="0"/>
          <w:pgNumType w:fmt="decimal"/>
          <w:cols w:space="720" w:num="1"/>
          <w:docGrid w:linePitch="312" w:charSpace="0"/>
        </w:sectPr>
      </w:pPr>
    </w:p>
    <w:p>
      <w:pP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ascii="方正黑体_GBK" w:hAnsi="方正黑体_GBK" w:eastAsia="方正黑体_GBK" w:cs="方正黑体_GBK"/>
          <w:sz w:val="32"/>
          <w:szCs w:val="32"/>
        </w:rPr>
        <w:t>2</w:t>
      </w:r>
    </w:p>
    <w:p>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永川区城镇化粪池普查登记表</w:t>
      </w:r>
    </w:p>
    <w:tbl>
      <w:tblPr>
        <w:tblStyle w:val="8"/>
        <w:tblW w:w="0" w:type="auto"/>
        <w:jc w:val="center"/>
        <w:tblLayout w:type="fixed"/>
        <w:tblCellMar>
          <w:top w:w="0" w:type="dxa"/>
          <w:left w:w="0" w:type="dxa"/>
          <w:bottom w:w="0" w:type="dxa"/>
          <w:right w:w="0" w:type="dxa"/>
        </w:tblCellMar>
      </w:tblPr>
      <w:tblGrid>
        <w:gridCol w:w="1619"/>
        <w:gridCol w:w="886"/>
        <w:gridCol w:w="1272"/>
        <w:gridCol w:w="2433"/>
        <w:gridCol w:w="1470"/>
        <w:gridCol w:w="1080"/>
        <w:gridCol w:w="1080"/>
        <w:gridCol w:w="882"/>
        <w:gridCol w:w="1382"/>
        <w:gridCol w:w="1096"/>
        <w:gridCol w:w="687"/>
        <w:gridCol w:w="960"/>
      </w:tblGrid>
      <w:tr>
        <w:tblPrEx>
          <w:tblCellMar>
            <w:top w:w="0" w:type="dxa"/>
            <w:left w:w="0" w:type="dxa"/>
            <w:bottom w:w="0" w:type="dxa"/>
            <w:right w:w="0" w:type="dxa"/>
          </w:tblCellMar>
        </w:tblPrEx>
        <w:trPr>
          <w:trHeight w:val="116" w:hRule="atLeast"/>
          <w:jc w:val="center"/>
        </w:trPr>
        <w:tc>
          <w:tcPr>
            <w:tcW w:w="14847" w:type="dxa"/>
            <w:gridSpan w:val="12"/>
            <w:tcBorders>
              <w:top w:val="nil"/>
              <w:left w:val="nil"/>
              <w:bottom w:val="nil"/>
              <w:right w:val="nil"/>
            </w:tcBorders>
            <w:noWrap w:val="0"/>
            <w:tcMar>
              <w:top w:w="15" w:type="dxa"/>
              <w:left w:w="15" w:type="dxa"/>
              <w:right w:w="15" w:type="dxa"/>
            </w:tcMar>
            <w:vAlign w:val="center"/>
          </w:tcPr>
          <w:p>
            <w:pPr>
              <w:spacing w:line="240" w:lineRule="exact"/>
              <w:textAlignment w:val="center"/>
              <w:rPr>
                <w:rFonts w:eastAsia="仿宋"/>
                <w:szCs w:val="21"/>
              </w:rPr>
            </w:pPr>
            <w:r>
              <w:rPr>
                <w:rFonts w:hint="eastAsia" w:eastAsia="仿宋"/>
                <w:kern w:val="0"/>
                <w:szCs w:val="21"/>
              </w:rPr>
              <w:t>行政区：</w:t>
            </w:r>
            <w:r>
              <w:rPr>
                <w:rFonts w:eastAsia="仿宋"/>
                <w:kern w:val="0"/>
                <w:szCs w:val="21"/>
              </w:rPr>
              <w:t xml:space="preserve">                        </w:t>
            </w:r>
            <w:r>
              <w:rPr>
                <w:rFonts w:hint="eastAsia" w:eastAsia="仿宋"/>
                <w:kern w:val="0"/>
                <w:szCs w:val="21"/>
              </w:rPr>
              <w:t>所属街道：</w:t>
            </w:r>
            <w:r>
              <w:rPr>
                <w:rFonts w:eastAsia="仿宋"/>
                <w:kern w:val="0"/>
                <w:szCs w:val="21"/>
              </w:rPr>
              <w:t xml:space="preserve">                        </w:t>
            </w:r>
            <w:r>
              <w:rPr>
                <w:rFonts w:hint="eastAsia" w:eastAsia="仿宋"/>
                <w:kern w:val="0"/>
                <w:szCs w:val="21"/>
              </w:rPr>
              <w:t>社区：</w:t>
            </w:r>
            <w:r>
              <w:rPr>
                <w:rFonts w:eastAsia="仿宋"/>
                <w:kern w:val="0"/>
                <w:szCs w:val="21"/>
              </w:rPr>
              <w:t xml:space="preserve">                         </w:t>
            </w:r>
            <w:r>
              <w:rPr>
                <w:rFonts w:hint="eastAsia" w:eastAsia="仿宋"/>
                <w:kern w:val="0"/>
                <w:szCs w:val="21"/>
              </w:rPr>
              <w:t>编号：</w:t>
            </w:r>
          </w:p>
        </w:tc>
      </w:tr>
      <w:tr>
        <w:tblPrEx>
          <w:tblCellMar>
            <w:top w:w="0" w:type="dxa"/>
            <w:left w:w="0" w:type="dxa"/>
            <w:bottom w:w="0" w:type="dxa"/>
            <w:right w:w="0" w:type="dxa"/>
          </w:tblCellMar>
        </w:tblPrEx>
        <w:trPr>
          <w:trHeight w:val="377" w:hRule="atLeast"/>
          <w:jc w:val="center"/>
        </w:trPr>
        <w:tc>
          <w:tcPr>
            <w:tcW w:w="1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textAlignment w:val="center"/>
              <w:rPr>
                <w:rFonts w:eastAsia="仿宋"/>
                <w:szCs w:val="21"/>
              </w:rPr>
            </w:pPr>
            <w:r>
              <w:rPr>
                <w:rFonts w:hint="eastAsia" w:eastAsia="仿宋"/>
                <w:kern w:val="0"/>
                <w:szCs w:val="21"/>
              </w:rPr>
              <w:t>化粪池管理单位</w:t>
            </w:r>
          </w:p>
        </w:tc>
        <w:tc>
          <w:tcPr>
            <w:tcW w:w="459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eastAsia="仿宋"/>
                <w:szCs w:val="21"/>
              </w:rPr>
            </w:pP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textAlignment w:val="center"/>
              <w:rPr>
                <w:rFonts w:eastAsia="仿宋"/>
                <w:szCs w:val="21"/>
              </w:rPr>
            </w:pPr>
            <w:r>
              <w:rPr>
                <w:rFonts w:hint="eastAsia" w:eastAsia="仿宋"/>
                <w:kern w:val="0"/>
                <w:szCs w:val="21"/>
              </w:rPr>
              <w:t>负责人</w:t>
            </w:r>
          </w:p>
        </w:tc>
        <w:tc>
          <w:tcPr>
            <w:tcW w:w="304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eastAsia="仿宋"/>
                <w:szCs w:val="21"/>
              </w:rPr>
            </w:pPr>
          </w:p>
        </w:tc>
        <w:tc>
          <w:tcPr>
            <w:tcW w:w="13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textAlignment w:val="center"/>
              <w:rPr>
                <w:rFonts w:eastAsia="仿宋"/>
                <w:szCs w:val="21"/>
              </w:rPr>
            </w:pPr>
            <w:r>
              <w:rPr>
                <w:rFonts w:hint="eastAsia" w:eastAsia="仿宋"/>
                <w:kern w:val="0"/>
                <w:szCs w:val="21"/>
              </w:rPr>
              <w:t>联系电话</w:t>
            </w:r>
          </w:p>
        </w:tc>
        <w:tc>
          <w:tcPr>
            <w:tcW w:w="274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eastAsia="仿宋"/>
                <w:szCs w:val="21"/>
              </w:rPr>
            </w:pPr>
          </w:p>
        </w:tc>
      </w:tr>
      <w:tr>
        <w:tblPrEx>
          <w:tblCellMar>
            <w:top w:w="0" w:type="dxa"/>
            <w:left w:w="0" w:type="dxa"/>
            <w:bottom w:w="0" w:type="dxa"/>
            <w:right w:w="0" w:type="dxa"/>
          </w:tblCellMar>
        </w:tblPrEx>
        <w:trPr>
          <w:trHeight w:val="382" w:hRule="atLeast"/>
          <w:jc w:val="center"/>
        </w:trPr>
        <w:tc>
          <w:tcPr>
            <w:tcW w:w="1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textAlignment w:val="center"/>
              <w:rPr>
                <w:rFonts w:eastAsia="仿宋"/>
                <w:szCs w:val="21"/>
              </w:rPr>
            </w:pPr>
            <w:r>
              <w:rPr>
                <w:rFonts w:hint="eastAsia" w:eastAsia="仿宋"/>
                <w:kern w:val="0"/>
                <w:szCs w:val="21"/>
              </w:rPr>
              <w:t>详细地址</w:t>
            </w:r>
          </w:p>
        </w:tc>
        <w:tc>
          <w:tcPr>
            <w:tcW w:w="459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eastAsia="仿宋"/>
                <w:szCs w:val="21"/>
              </w:rPr>
            </w:pP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textAlignment w:val="center"/>
              <w:rPr>
                <w:rFonts w:eastAsia="仿宋"/>
                <w:szCs w:val="21"/>
              </w:rPr>
            </w:pPr>
            <w:r>
              <w:rPr>
                <w:rFonts w:hint="eastAsia" w:eastAsia="仿宋"/>
                <w:kern w:val="0"/>
                <w:szCs w:val="21"/>
              </w:rPr>
              <w:t>建设时间</w:t>
            </w:r>
          </w:p>
        </w:tc>
        <w:tc>
          <w:tcPr>
            <w:tcW w:w="304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eastAsia="仿宋"/>
                <w:szCs w:val="21"/>
              </w:rPr>
            </w:pPr>
          </w:p>
        </w:tc>
        <w:tc>
          <w:tcPr>
            <w:tcW w:w="13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textAlignment w:val="center"/>
              <w:rPr>
                <w:rFonts w:eastAsia="仿宋"/>
                <w:szCs w:val="21"/>
              </w:rPr>
            </w:pPr>
            <w:r>
              <w:rPr>
                <w:rFonts w:hint="eastAsia" w:eastAsia="仿宋"/>
                <w:kern w:val="0"/>
                <w:szCs w:val="21"/>
              </w:rPr>
              <w:t>有无图纸资料</w:t>
            </w:r>
          </w:p>
        </w:tc>
        <w:tc>
          <w:tcPr>
            <w:tcW w:w="274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eastAsia="仿宋"/>
                <w:szCs w:val="21"/>
              </w:rPr>
            </w:pPr>
          </w:p>
        </w:tc>
      </w:tr>
      <w:tr>
        <w:tblPrEx>
          <w:tblCellMar>
            <w:top w:w="0" w:type="dxa"/>
            <w:left w:w="0" w:type="dxa"/>
            <w:bottom w:w="0" w:type="dxa"/>
            <w:right w:w="0" w:type="dxa"/>
          </w:tblCellMar>
        </w:tblPrEx>
        <w:trPr>
          <w:trHeight w:val="90" w:hRule="atLeast"/>
          <w:jc w:val="center"/>
        </w:trPr>
        <w:tc>
          <w:tcPr>
            <w:tcW w:w="1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textAlignment w:val="center"/>
              <w:rPr>
                <w:rFonts w:eastAsia="仿宋"/>
                <w:szCs w:val="21"/>
              </w:rPr>
            </w:pPr>
            <w:r>
              <w:rPr>
                <w:rFonts w:hint="eastAsia" w:eastAsia="仿宋"/>
                <w:kern w:val="0"/>
                <w:szCs w:val="21"/>
              </w:rPr>
              <w:t>建筑面积</w:t>
            </w:r>
          </w:p>
        </w:tc>
        <w:tc>
          <w:tcPr>
            <w:tcW w:w="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textAlignment w:val="center"/>
              <w:rPr>
                <w:rFonts w:eastAsia="仿宋"/>
                <w:szCs w:val="21"/>
              </w:rPr>
            </w:pPr>
            <w:r>
              <w:rPr>
                <w:rFonts w:eastAsia="仿宋"/>
                <w:kern w:val="0"/>
                <w:szCs w:val="21"/>
              </w:rPr>
              <w:t xml:space="preserve">     </w:t>
            </w:r>
            <w:r>
              <w:rPr>
                <w:rFonts w:hint="eastAsia" w:eastAsia="仿宋"/>
                <w:kern w:val="0"/>
                <w:szCs w:val="21"/>
              </w:rPr>
              <w:t>㎡</w:t>
            </w:r>
          </w:p>
        </w:tc>
        <w:tc>
          <w:tcPr>
            <w:tcW w:w="12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textAlignment w:val="center"/>
              <w:rPr>
                <w:rFonts w:eastAsia="仿宋"/>
                <w:szCs w:val="21"/>
              </w:rPr>
            </w:pPr>
            <w:r>
              <w:rPr>
                <w:rFonts w:hint="eastAsia" w:eastAsia="仿宋"/>
                <w:kern w:val="0"/>
                <w:szCs w:val="21"/>
              </w:rPr>
              <w:t>设计单位</w:t>
            </w:r>
          </w:p>
        </w:tc>
        <w:tc>
          <w:tcPr>
            <w:tcW w:w="2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eastAsia="仿宋"/>
                <w:szCs w:val="21"/>
              </w:rPr>
            </w:pP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textAlignment w:val="center"/>
              <w:rPr>
                <w:rFonts w:eastAsia="仿宋"/>
                <w:szCs w:val="21"/>
              </w:rPr>
            </w:pPr>
            <w:r>
              <w:rPr>
                <w:rFonts w:hint="eastAsia" w:eastAsia="仿宋"/>
                <w:kern w:val="0"/>
                <w:szCs w:val="21"/>
              </w:rPr>
              <w:t>是否专人管理</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eastAsia="仿宋"/>
                <w:szCs w:val="21"/>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textAlignment w:val="center"/>
              <w:rPr>
                <w:rFonts w:eastAsia="仿宋"/>
                <w:szCs w:val="21"/>
              </w:rPr>
            </w:pPr>
            <w:r>
              <w:rPr>
                <w:rFonts w:hint="eastAsia" w:eastAsia="仿宋"/>
                <w:kern w:val="0"/>
                <w:szCs w:val="21"/>
              </w:rPr>
              <w:t>最后一次清掏时间</w:t>
            </w:r>
          </w:p>
        </w:tc>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eastAsia="仿宋"/>
                <w:szCs w:val="21"/>
              </w:rPr>
            </w:pPr>
          </w:p>
        </w:tc>
        <w:tc>
          <w:tcPr>
            <w:tcW w:w="24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textAlignment w:val="center"/>
              <w:rPr>
                <w:rFonts w:eastAsia="仿宋"/>
                <w:szCs w:val="21"/>
              </w:rPr>
            </w:pPr>
            <w:r>
              <w:rPr>
                <w:rFonts w:hint="eastAsia" w:eastAsia="仿宋"/>
                <w:kern w:val="0"/>
                <w:szCs w:val="21"/>
              </w:rPr>
              <w:t>设施有无安全隐患情况</w:t>
            </w:r>
          </w:p>
        </w:tc>
        <w:tc>
          <w:tcPr>
            <w:tcW w:w="16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textAlignment w:val="center"/>
              <w:rPr>
                <w:rFonts w:eastAsia="仿宋"/>
                <w:szCs w:val="21"/>
              </w:rPr>
            </w:pPr>
            <w:r>
              <w:rPr>
                <w:rFonts w:hint="eastAsia" w:eastAsia="仿宋"/>
                <w:kern w:val="0"/>
                <w:szCs w:val="21"/>
              </w:rPr>
              <w:t>使用情况</w:t>
            </w:r>
          </w:p>
        </w:tc>
      </w:tr>
      <w:tr>
        <w:tblPrEx>
          <w:tblCellMar>
            <w:top w:w="0" w:type="dxa"/>
            <w:left w:w="0" w:type="dxa"/>
            <w:bottom w:w="0" w:type="dxa"/>
            <w:right w:w="0" w:type="dxa"/>
          </w:tblCellMar>
        </w:tblPrEx>
        <w:trPr>
          <w:trHeight w:val="333" w:hRule="atLeast"/>
          <w:jc w:val="center"/>
        </w:trPr>
        <w:tc>
          <w:tcPr>
            <w:tcW w:w="1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textAlignment w:val="center"/>
              <w:rPr>
                <w:rFonts w:eastAsia="仿宋"/>
                <w:szCs w:val="21"/>
              </w:rPr>
            </w:pPr>
            <w:r>
              <w:rPr>
                <w:rFonts w:hint="eastAsia" w:eastAsia="仿宋"/>
                <w:kern w:val="0"/>
                <w:szCs w:val="21"/>
              </w:rPr>
              <w:t>处理容器</w:t>
            </w:r>
          </w:p>
        </w:tc>
        <w:tc>
          <w:tcPr>
            <w:tcW w:w="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textAlignment w:val="center"/>
              <w:rPr>
                <w:rFonts w:eastAsia="仿宋"/>
                <w:szCs w:val="21"/>
              </w:rPr>
            </w:pPr>
            <w:r>
              <w:rPr>
                <w:rFonts w:eastAsia="仿宋"/>
                <w:kern w:val="0"/>
                <w:szCs w:val="21"/>
              </w:rPr>
              <w:t xml:space="preserve">     </w:t>
            </w:r>
            <w:r>
              <w:rPr>
                <w:rStyle w:val="13"/>
                <w:szCs w:val="21"/>
              </w:rPr>
              <w:t>m</w:t>
            </w:r>
            <w:r>
              <w:rPr>
                <w:rStyle w:val="14"/>
                <w:rFonts w:hint="eastAsia"/>
                <w:szCs w:val="21"/>
              </w:rPr>
              <w:t>³</w:t>
            </w:r>
          </w:p>
        </w:tc>
        <w:tc>
          <w:tcPr>
            <w:tcW w:w="12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textAlignment w:val="center"/>
              <w:rPr>
                <w:rFonts w:eastAsia="仿宋"/>
                <w:szCs w:val="21"/>
              </w:rPr>
            </w:pPr>
            <w:r>
              <w:rPr>
                <w:rFonts w:hint="eastAsia" w:eastAsia="仿宋"/>
                <w:kern w:val="0"/>
                <w:szCs w:val="21"/>
              </w:rPr>
              <w:t>施工单位</w:t>
            </w:r>
          </w:p>
        </w:tc>
        <w:tc>
          <w:tcPr>
            <w:tcW w:w="2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eastAsia="仿宋"/>
                <w:szCs w:val="21"/>
              </w:rPr>
            </w:pP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textAlignment w:val="center"/>
              <w:rPr>
                <w:rFonts w:eastAsia="仿宋"/>
                <w:szCs w:val="21"/>
              </w:rPr>
            </w:pPr>
            <w:r>
              <w:rPr>
                <w:rFonts w:hint="eastAsia" w:eastAsia="仿宋"/>
                <w:kern w:val="0"/>
                <w:szCs w:val="21"/>
              </w:rPr>
              <w:t>是否定期清掏</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eastAsia="仿宋"/>
                <w:szCs w:val="21"/>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textAlignment w:val="center"/>
              <w:rPr>
                <w:rFonts w:eastAsia="仿宋"/>
                <w:szCs w:val="21"/>
              </w:rPr>
            </w:pPr>
            <w:r>
              <w:rPr>
                <w:rFonts w:hint="eastAsia" w:eastAsia="仿宋"/>
                <w:kern w:val="0"/>
                <w:szCs w:val="21"/>
              </w:rPr>
              <w:t>居住户数</w:t>
            </w:r>
          </w:p>
        </w:tc>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eastAsia="仿宋"/>
                <w:szCs w:val="21"/>
              </w:rPr>
            </w:pPr>
          </w:p>
        </w:tc>
        <w:tc>
          <w:tcPr>
            <w:tcW w:w="13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textAlignment w:val="center"/>
              <w:rPr>
                <w:rFonts w:eastAsia="仿宋"/>
                <w:szCs w:val="21"/>
              </w:rPr>
            </w:pPr>
            <w:r>
              <w:rPr>
                <w:rFonts w:hint="eastAsia" w:eastAsia="仿宋"/>
                <w:kern w:val="0"/>
                <w:szCs w:val="21"/>
              </w:rPr>
              <w:t>有安全隐患</w:t>
            </w:r>
          </w:p>
        </w:tc>
        <w:tc>
          <w:tcPr>
            <w:tcW w:w="10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textAlignment w:val="center"/>
              <w:rPr>
                <w:rFonts w:eastAsia="仿宋"/>
                <w:szCs w:val="21"/>
              </w:rPr>
            </w:pPr>
            <w:r>
              <w:rPr>
                <w:rFonts w:hint="eastAsia" w:eastAsia="仿宋"/>
                <w:kern w:val="0"/>
                <w:szCs w:val="21"/>
              </w:rPr>
              <w:t>无安全隐患</w:t>
            </w:r>
          </w:p>
        </w:tc>
        <w:tc>
          <w:tcPr>
            <w:tcW w:w="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textAlignment w:val="center"/>
              <w:rPr>
                <w:rFonts w:eastAsia="仿宋"/>
                <w:szCs w:val="21"/>
              </w:rPr>
            </w:pPr>
            <w:r>
              <w:rPr>
                <w:rFonts w:hint="eastAsia" w:eastAsia="仿宋"/>
                <w:kern w:val="0"/>
                <w:szCs w:val="21"/>
              </w:rPr>
              <w:t>正常</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textAlignment w:val="center"/>
              <w:rPr>
                <w:rFonts w:eastAsia="仿宋"/>
                <w:szCs w:val="21"/>
              </w:rPr>
            </w:pPr>
            <w:r>
              <w:rPr>
                <w:rFonts w:hint="eastAsia" w:eastAsia="仿宋"/>
                <w:kern w:val="0"/>
                <w:szCs w:val="21"/>
              </w:rPr>
              <w:t>不正常</w:t>
            </w:r>
          </w:p>
        </w:tc>
      </w:tr>
      <w:tr>
        <w:tblPrEx>
          <w:tblCellMar>
            <w:top w:w="0" w:type="dxa"/>
            <w:left w:w="0" w:type="dxa"/>
            <w:bottom w:w="0" w:type="dxa"/>
            <w:right w:w="0" w:type="dxa"/>
          </w:tblCellMar>
        </w:tblPrEx>
        <w:trPr>
          <w:trHeight w:val="436" w:hRule="atLeast"/>
          <w:jc w:val="center"/>
        </w:trPr>
        <w:tc>
          <w:tcPr>
            <w:tcW w:w="1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textAlignment w:val="center"/>
              <w:rPr>
                <w:rFonts w:eastAsia="仿宋"/>
                <w:szCs w:val="21"/>
              </w:rPr>
            </w:pPr>
            <w:r>
              <w:rPr>
                <w:rFonts w:hint="eastAsia" w:eastAsia="仿宋"/>
                <w:kern w:val="0"/>
                <w:szCs w:val="21"/>
              </w:rPr>
              <w:t>工程造价</w:t>
            </w:r>
          </w:p>
        </w:tc>
        <w:tc>
          <w:tcPr>
            <w:tcW w:w="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textAlignment w:val="center"/>
              <w:rPr>
                <w:rFonts w:eastAsia="仿宋"/>
                <w:szCs w:val="21"/>
              </w:rPr>
            </w:pPr>
            <w:r>
              <w:rPr>
                <w:rFonts w:eastAsia="仿宋"/>
                <w:kern w:val="0"/>
                <w:szCs w:val="21"/>
              </w:rPr>
              <w:t xml:space="preserve">    </w:t>
            </w:r>
            <w:r>
              <w:rPr>
                <w:rFonts w:hint="eastAsia" w:eastAsia="仿宋"/>
                <w:kern w:val="0"/>
                <w:szCs w:val="21"/>
              </w:rPr>
              <w:t>万元</w:t>
            </w:r>
          </w:p>
        </w:tc>
        <w:tc>
          <w:tcPr>
            <w:tcW w:w="12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textAlignment w:val="center"/>
              <w:rPr>
                <w:rFonts w:eastAsia="仿宋"/>
                <w:szCs w:val="21"/>
              </w:rPr>
            </w:pPr>
            <w:r>
              <w:rPr>
                <w:rFonts w:hint="eastAsia" w:eastAsia="仿宋"/>
                <w:kern w:val="0"/>
                <w:szCs w:val="21"/>
              </w:rPr>
              <w:t>权属单位</w:t>
            </w:r>
          </w:p>
        </w:tc>
        <w:tc>
          <w:tcPr>
            <w:tcW w:w="2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eastAsia="仿宋"/>
                <w:szCs w:val="21"/>
              </w:rPr>
            </w:pP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textAlignment w:val="center"/>
              <w:rPr>
                <w:rFonts w:eastAsia="仿宋"/>
                <w:szCs w:val="21"/>
              </w:rPr>
            </w:pPr>
            <w:r>
              <w:rPr>
                <w:rFonts w:hint="eastAsia" w:eastAsia="仿宋"/>
                <w:kern w:val="0"/>
                <w:szCs w:val="21"/>
              </w:rPr>
              <w:t>有无清掏记录</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eastAsia="仿宋"/>
                <w:szCs w:val="21"/>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textAlignment w:val="center"/>
              <w:rPr>
                <w:rFonts w:eastAsia="仿宋"/>
                <w:szCs w:val="21"/>
              </w:rPr>
            </w:pPr>
            <w:r>
              <w:rPr>
                <w:rFonts w:hint="eastAsia" w:eastAsia="仿宋"/>
                <w:kern w:val="0"/>
                <w:szCs w:val="21"/>
              </w:rPr>
              <w:t>粪便去向</w:t>
            </w:r>
          </w:p>
        </w:tc>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eastAsia="仿宋"/>
                <w:szCs w:val="21"/>
              </w:rPr>
            </w:pPr>
          </w:p>
        </w:tc>
        <w:tc>
          <w:tcPr>
            <w:tcW w:w="13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eastAsia="仿宋"/>
                <w:szCs w:val="21"/>
              </w:rPr>
            </w:pPr>
          </w:p>
        </w:tc>
        <w:tc>
          <w:tcPr>
            <w:tcW w:w="10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eastAsia="仿宋"/>
                <w:szCs w:val="21"/>
              </w:rPr>
            </w:pPr>
          </w:p>
        </w:tc>
        <w:tc>
          <w:tcPr>
            <w:tcW w:w="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eastAsia="仿宋"/>
                <w:szCs w:val="21"/>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eastAsia="仿宋"/>
                <w:szCs w:val="21"/>
              </w:rPr>
            </w:pPr>
          </w:p>
        </w:tc>
      </w:tr>
      <w:tr>
        <w:tblPrEx>
          <w:tblCellMar>
            <w:top w:w="0" w:type="dxa"/>
            <w:left w:w="0" w:type="dxa"/>
            <w:bottom w:w="0" w:type="dxa"/>
            <w:right w:w="0" w:type="dxa"/>
          </w:tblCellMar>
        </w:tblPrEx>
        <w:trPr>
          <w:trHeight w:val="90" w:hRule="atLeast"/>
          <w:jc w:val="center"/>
        </w:trPr>
        <w:tc>
          <w:tcPr>
            <w:tcW w:w="6210" w:type="dxa"/>
            <w:gridSpan w:val="4"/>
            <w:tcBorders>
              <w:top w:val="single" w:color="000000" w:sz="4" w:space="0"/>
              <w:left w:val="single" w:color="000000" w:sz="4" w:space="0"/>
              <w:bottom w:val="nil"/>
              <w:right w:val="nil"/>
            </w:tcBorders>
            <w:noWrap w:val="0"/>
            <w:tcMar>
              <w:top w:w="15" w:type="dxa"/>
              <w:left w:w="15" w:type="dxa"/>
              <w:right w:w="15" w:type="dxa"/>
            </w:tcMar>
            <w:vAlign w:val="center"/>
          </w:tcPr>
          <w:p>
            <w:pPr>
              <w:spacing w:line="240" w:lineRule="exact"/>
              <w:jc w:val="center"/>
              <w:textAlignment w:val="center"/>
              <w:rPr>
                <w:rFonts w:eastAsia="仿宋"/>
                <w:szCs w:val="21"/>
              </w:rPr>
            </w:pPr>
            <w:r>
              <w:rPr>
                <w:rFonts w:hint="eastAsia" w:eastAsia="仿宋"/>
                <w:kern w:val="0"/>
                <w:szCs w:val="21"/>
              </w:rPr>
              <w:t>化粪池管理情况分类</w:t>
            </w:r>
          </w:p>
        </w:tc>
        <w:tc>
          <w:tcPr>
            <w:tcW w:w="6990" w:type="dxa"/>
            <w:gridSpan w:val="6"/>
            <w:tcBorders>
              <w:top w:val="single" w:color="000000" w:sz="4" w:space="0"/>
              <w:left w:val="single" w:color="000000" w:sz="4" w:space="0"/>
              <w:bottom w:val="nil"/>
              <w:right w:val="nil"/>
            </w:tcBorders>
            <w:noWrap w:val="0"/>
            <w:tcMar>
              <w:top w:w="15" w:type="dxa"/>
              <w:left w:w="15" w:type="dxa"/>
              <w:right w:w="15" w:type="dxa"/>
            </w:tcMar>
            <w:vAlign w:val="center"/>
          </w:tcPr>
          <w:p>
            <w:pPr>
              <w:spacing w:line="240" w:lineRule="exact"/>
              <w:jc w:val="center"/>
              <w:textAlignment w:val="center"/>
              <w:rPr>
                <w:rFonts w:eastAsia="仿宋"/>
                <w:szCs w:val="21"/>
              </w:rPr>
            </w:pPr>
            <w:r>
              <w:rPr>
                <w:rFonts w:hint="eastAsia" w:eastAsia="仿宋"/>
                <w:kern w:val="0"/>
                <w:szCs w:val="21"/>
              </w:rPr>
              <w:t>化粪池类别</w:t>
            </w:r>
          </w:p>
        </w:tc>
        <w:tc>
          <w:tcPr>
            <w:tcW w:w="16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textAlignment w:val="center"/>
              <w:rPr>
                <w:rFonts w:eastAsia="仿宋"/>
                <w:szCs w:val="21"/>
              </w:rPr>
            </w:pPr>
            <w:r>
              <w:rPr>
                <w:rFonts w:hint="eastAsia" w:eastAsia="仿宋"/>
                <w:kern w:val="0"/>
                <w:szCs w:val="21"/>
              </w:rPr>
              <w:t>交通情况</w:t>
            </w:r>
          </w:p>
        </w:tc>
      </w:tr>
      <w:tr>
        <w:tblPrEx>
          <w:tblCellMar>
            <w:top w:w="0" w:type="dxa"/>
            <w:left w:w="0" w:type="dxa"/>
            <w:bottom w:w="0" w:type="dxa"/>
            <w:right w:w="0" w:type="dxa"/>
          </w:tblCellMar>
        </w:tblPrEx>
        <w:trPr>
          <w:trHeight w:val="557" w:hRule="atLeast"/>
          <w:jc w:val="center"/>
        </w:trPr>
        <w:tc>
          <w:tcPr>
            <w:tcW w:w="1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textAlignment w:val="center"/>
              <w:rPr>
                <w:rFonts w:eastAsia="仿宋"/>
                <w:szCs w:val="21"/>
              </w:rPr>
            </w:pPr>
            <w:r>
              <w:rPr>
                <w:rFonts w:hint="eastAsia" w:eastAsia="仿宋"/>
                <w:kern w:val="0"/>
                <w:szCs w:val="21"/>
              </w:rPr>
              <w:t>行业主管部门自行管理的设施</w:t>
            </w:r>
          </w:p>
        </w:tc>
        <w:tc>
          <w:tcPr>
            <w:tcW w:w="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textAlignment w:val="center"/>
              <w:rPr>
                <w:rFonts w:eastAsia="仿宋"/>
                <w:szCs w:val="21"/>
              </w:rPr>
            </w:pPr>
            <w:r>
              <w:rPr>
                <w:rFonts w:hint="eastAsia" w:eastAsia="仿宋"/>
                <w:kern w:val="0"/>
                <w:szCs w:val="21"/>
              </w:rPr>
              <w:t>产权单位自己管理的设施</w:t>
            </w:r>
          </w:p>
        </w:tc>
        <w:tc>
          <w:tcPr>
            <w:tcW w:w="12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textAlignment w:val="center"/>
              <w:rPr>
                <w:rFonts w:eastAsia="仿宋"/>
                <w:szCs w:val="21"/>
              </w:rPr>
            </w:pPr>
            <w:r>
              <w:rPr>
                <w:rFonts w:hint="eastAsia" w:eastAsia="仿宋"/>
                <w:kern w:val="0"/>
                <w:szCs w:val="21"/>
              </w:rPr>
              <w:t>有明确产权但不履行管理职责的设施</w:t>
            </w:r>
          </w:p>
        </w:tc>
        <w:tc>
          <w:tcPr>
            <w:tcW w:w="2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textAlignment w:val="center"/>
              <w:rPr>
                <w:rFonts w:eastAsia="仿宋"/>
                <w:szCs w:val="21"/>
              </w:rPr>
            </w:pPr>
            <w:r>
              <w:rPr>
                <w:rFonts w:hint="eastAsia" w:eastAsia="仿宋"/>
                <w:kern w:val="0"/>
                <w:szCs w:val="21"/>
              </w:rPr>
              <w:t>无明确产权的设施（包括破产企业、老旧待改造居民区、房屋产权多次转移不明确等）</w:t>
            </w:r>
          </w:p>
        </w:tc>
        <w:tc>
          <w:tcPr>
            <w:tcW w:w="25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textAlignment w:val="center"/>
              <w:rPr>
                <w:rFonts w:eastAsia="仿宋"/>
                <w:szCs w:val="21"/>
              </w:rPr>
            </w:pPr>
            <w:r>
              <w:rPr>
                <w:rFonts w:hint="eastAsia" w:eastAsia="仿宋"/>
                <w:kern w:val="0"/>
                <w:szCs w:val="21"/>
              </w:rPr>
              <w:t>储粪池</w:t>
            </w:r>
          </w:p>
        </w:tc>
        <w:tc>
          <w:tcPr>
            <w:tcW w:w="19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textAlignment w:val="center"/>
              <w:rPr>
                <w:rFonts w:eastAsia="仿宋"/>
                <w:szCs w:val="21"/>
              </w:rPr>
            </w:pPr>
            <w:r>
              <w:rPr>
                <w:rFonts w:hint="eastAsia" w:eastAsia="仿宋"/>
                <w:kern w:val="0"/>
                <w:szCs w:val="21"/>
              </w:rPr>
              <w:t>化粪池</w:t>
            </w:r>
          </w:p>
        </w:tc>
        <w:tc>
          <w:tcPr>
            <w:tcW w:w="24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textAlignment w:val="center"/>
              <w:rPr>
                <w:rFonts w:eastAsia="仿宋"/>
                <w:szCs w:val="21"/>
              </w:rPr>
            </w:pPr>
            <w:r>
              <w:rPr>
                <w:rFonts w:hint="eastAsia" w:eastAsia="仿宋"/>
                <w:kern w:val="0"/>
                <w:szCs w:val="21"/>
              </w:rPr>
              <w:t>粪便处理厂</w:t>
            </w:r>
          </w:p>
        </w:tc>
        <w:tc>
          <w:tcPr>
            <w:tcW w:w="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textAlignment w:val="center"/>
              <w:rPr>
                <w:rFonts w:eastAsia="仿宋"/>
                <w:szCs w:val="21"/>
              </w:rPr>
            </w:pPr>
            <w:r>
              <w:rPr>
                <w:rFonts w:hint="eastAsia" w:eastAsia="仿宋"/>
                <w:kern w:val="0"/>
                <w:szCs w:val="21"/>
              </w:rPr>
              <w:t>通车</w:t>
            </w: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textAlignment w:val="center"/>
              <w:rPr>
                <w:rFonts w:eastAsia="仿宋"/>
                <w:szCs w:val="21"/>
              </w:rPr>
            </w:pPr>
            <w:r>
              <w:rPr>
                <w:rFonts w:hint="eastAsia" w:eastAsia="仿宋"/>
                <w:kern w:val="0"/>
                <w:szCs w:val="21"/>
              </w:rPr>
              <w:t>不通车</w:t>
            </w:r>
          </w:p>
        </w:tc>
      </w:tr>
      <w:tr>
        <w:tblPrEx>
          <w:tblCellMar>
            <w:top w:w="0" w:type="dxa"/>
            <w:left w:w="0" w:type="dxa"/>
            <w:bottom w:w="0" w:type="dxa"/>
            <w:right w:w="0" w:type="dxa"/>
          </w:tblCellMar>
        </w:tblPrEx>
        <w:trPr>
          <w:trHeight w:val="385" w:hRule="atLeast"/>
          <w:jc w:val="center"/>
        </w:trPr>
        <w:tc>
          <w:tcPr>
            <w:tcW w:w="1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eastAsia="仿宋"/>
                <w:szCs w:val="21"/>
              </w:rPr>
            </w:pPr>
          </w:p>
        </w:tc>
        <w:tc>
          <w:tcPr>
            <w:tcW w:w="8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eastAsia="仿宋"/>
                <w:szCs w:val="21"/>
              </w:rPr>
            </w:pPr>
          </w:p>
        </w:tc>
        <w:tc>
          <w:tcPr>
            <w:tcW w:w="12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eastAsia="仿宋"/>
                <w:szCs w:val="21"/>
              </w:rPr>
            </w:pPr>
          </w:p>
        </w:tc>
        <w:tc>
          <w:tcPr>
            <w:tcW w:w="24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eastAsia="仿宋"/>
                <w:szCs w:val="21"/>
              </w:rPr>
            </w:pP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eastAsia="仿宋"/>
                <w:szCs w:val="21"/>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eastAsia="仿宋"/>
                <w:szCs w:val="21"/>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eastAsia="仿宋"/>
                <w:szCs w:val="21"/>
              </w:rPr>
            </w:pPr>
          </w:p>
        </w:tc>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eastAsia="仿宋"/>
                <w:szCs w:val="21"/>
              </w:rPr>
            </w:pPr>
          </w:p>
        </w:tc>
        <w:tc>
          <w:tcPr>
            <w:tcW w:w="13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eastAsia="仿宋"/>
                <w:szCs w:val="21"/>
              </w:rPr>
            </w:pPr>
          </w:p>
        </w:tc>
        <w:tc>
          <w:tcPr>
            <w:tcW w:w="10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eastAsia="仿宋"/>
                <w:szCs w:val="21"/>
              </w:rPr>
            </w:pPr>
          </w:p>
        </w:tc>
        <w:tc>
          <w:tcPr>
            <w:tcW w:w="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eastAsia="仿宋"/>
                <w:szCs w:val="21"/>
              </w:rPr>
            </w:pPr>
          </w:p>
        </w:tc>
        <w:tc>
          <w:tcPr>
            <w:tcW w:w="9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eastAsia="仿宋"/>
                <w:szCs w:val="21"/>
              </w:rPr>
            </w:pPr>
          </w:p>
        </w:tc>
      </w:tr>
      <w:tr>
        <w:tblPrEx>
          <w:tblCellMar>
            <w:top w:w="0" w:type="dxa"/>
            <w:left w:w="0" w:type="dxa"/>
            <w:bottom w:w="0" w:type="dxa"/>
            <w:right w:w="0" w:type="dxa"/>
          </w:tblCellMar>
        </w:tblPrEx>
        <w:trPr>
          <w:trHeight w:val="270" w:hRule="atLeast"/>
          <w:jc w:val="center"/>
        </w:trPr>
        <w:tc>
          <w:tcPr>
            <w:tcW w:w="1619" w:type="dxa"/>
            <w:vMerge w:val="restart"/>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spacing w:line="240" w:lineRule="exact"/>
              <w:jc w:val="center"/>
              <w:textAlignment w:val="center"/>
              <w:rPr>
                <w:rFonts w:eastAsia="仿宋"/>
                <w:kern w:val="0"/>
                <w:szCs w:val="21"/>
              </w:rPr>
            </w:pPr>
            <w:r>
              <w:rPr>
                <w:rFonts w:hint="eastAsia" w:eastAsia="仿宋"/>
                <w:kern w:val="0"/>
                <w:szCs w:val="21"/>
              </w:rPr>
              <w:t>池型结构</w:t>
            </w:r>
          </w:p>
          <w:p>
            <w:pPr>
              <w:spacing w:line="240" w:lineRule="exact"/>
              <w:jc w:val="center"/>
              <w:textAlignment w:val="center"/>
              <w:rPr>
                <w:rFonts w:eastAsia="仿宋"/>
                <w:szCs w:val="21"/>
              </w:rPr>
            </w:pPr>
            <w:r>
              <w:rPr>
                <w:rFonts w:hint="eastAsia" w:eastAsia="仿宋"/>
                <w:kern w:val="0"/>
                <w:szCs w:val="21"/>
              </w:rPr>
              <w:t>示意图</w:t>
            </w:r>
          </w:p>
        </w:tc>
        <w:tc>
          <w:tcPr>
            <w:tcW w:w="886" w:type="dxa"/>
            <w:tcBorders>
              <w:top w:val="single" w:color="000000" w:sz="4" w:space="0"/>
              <w:left w:val="nil"/>
              <w:bottom w:val="nil"/>
              <w:right w:val="nil"/>
            </w:tcBorders>
            <w:noWrap w:val="0"/>
            <w:tcMar>
              <w:top w:w="15" w:type="dxa"/>
              <w:left w:w="15" w:type="dxa"/>
              <w:right w:w="15" w:type="dxa"/>
            </w:tcMar>
            <w:vAlign w:val="center"/>
          </w:tcPr>
          <w:p>
            <w:pPr>
              <w:spacing w:line="240" w:lineRule="exact"/>
              <w:rPr>
                <w:rFonts w:eastAsia="仿宋"/>
                <w:szCs w:val="21"/>
              </w:rPr>
            </w:pPr>
          </w:p>
        </w:tc>
        <w:tc>
          <w:tcPr>
            <w:tcW w:w="1272" w:type="dxa"/>
            <w:tcBorders>
              <w:top w:val="single" w:color="000000" w:sz="4" w:space="0"/>
              <w:left w:val="nil"/>
              <w:bottom w:val="nil"/>
              <w:right w:val="nil"/>
            </w:tcBorders>
            <w:noWrap w:val="0"/>
            <w:tcMar>
              <w:top w:w="15" w:type="dxa"/>
              <w:left w:w="15" w:type="dxa"/>
              <w:right w:w="15" w:type="dxa"/>
            </w:tcMar>
            <w:vAlign w:val="center"/>
          </w:tcPr>
          <w:p>
            <w:pPr>
              <w:spacing w:line="240" w:lineRule="exact"/>
              <w:rPr>
                <w:rFonts w:eastAsia="仿宋"/>
                <w:szCs w:val="21"/>
              </w:rPr>
            </w:pPr>
          </w:p>
        </w:tc>
        <w:tc>
          <w:tcPr>
            <w:tcW w:w="2433" w:type="dxa"/>
            <w:tcBorders>
              <w:top w:val="single" w:color="000000" w:sz="4" w:space="0"/>
              <w:left w:val="nil"/>
              <w:bottom w:val="nil"/>
              <w:right w:val="single" w:color="000000" w:sz="4" w:space="0"/>
            </w:tcBorders>
            <w:noWrap w:val="0"/>
            <w:tcMar>
              <w:top w:w="15" w:type="dxa"/>
              <w:left w:w="15" w:type="dxa"/>
              <w:right w:w="15" w:type="dxa"/>
            </w:tcMar>
            <w:vAlign w:val="center"/>
          </w:tcPr>
          <w:p>
            <w:pPr>
              <w:spacing w:line="240" w:lineRule="exact"/>
              <w:rPr>
                <w:rFonts w:eastAsia="仿宋"/>
                <w:szCs w:val="21"/>
              </w:rPr>
            </w:pPr>
          </w:p>
        </w:tc>
        <w:tc>
          <w:tcPr>
            <w:tcW w:w="1470" w:type="dxa"/>
            <w:vMerge w:val="restart"/>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spacing w:line="240" w:lineRule="exact"/>
              <w:jc w:val="center"/>
              <w:textAlignment w:val="center"/>
              <w:rPr>
                <w:rFonts w:eastAsia="仿宋"/>
                <w:szCs w:val="21"/>
              </w:rPr>
            </w:pPr>
            <w:r>
              <w:rPr>
                <w:rFonts w:hint="eastAsia" w:eastAsia="仿宋"/>
                <w:kern w:val="0"/>
                <w:szCs w:val="21"/>
              </w:rPr>
              <w:t>清掏记录</w:t>
            </w:r>
          </w:p>
        </w:tc>
        <w:tc>
          <w:tcPr>
            <w:tcW w:w="1080" w:type="dxa"/>
            <w:tcBorders>
              <w:top w:val="single" w:color="000000" w:sz="4" w:space="0"/>
              <w:left w:val="nil"/>
              <w:bottom w:val="nil"/>
              <w:right w:val="nil"/>
            </w:tcBorders>
            <w:noWrap w:val="0"/>
            <w:tcMar>
              <w:top w:w="15" w:type="dxa"/>
              <w:left w:w="15" w:type="dxa"/>
              <w:right w:w="15" w:type="dxa"/>
            </w:tcMar>
            <w:vAlign w:val="center"/>
          </w:tcPr>
          <w:p>
            <w:pPr>
              <w:spacing w:line="240" w:lineRule="exact"/>
              <w:rPr>
                <w:rFonts w:eastAsia="仿宋"/>
                <w:szCs w:val="21"/>
              </w:rPr>
            </w:pPr>
          </w:p>
        </w:tc>
        <w:tc>
          <w:tcPr>
            <w:tcW w:w="1080" w:type="dxa"/>
            <w:tcBorders>
              <w:top w:val="single" w:color="000000" w:sz="4" w:space="0"/>
              <w:left w:val="nil"/>
              <w:bottom w:val="nil"/>
              <w:right w:val="nil"/>
            </w:tcBorders>
            <w:noWrap w:val="0"/>
            <w:tcMar>
              <w:top w:w="15" w:type="dxa"/>
              <w:left w:w="15" w:type="dxa"/>
              <w:right w:w="15" w:type="dxa"/>
            </w:tcMar>
            <w:vAlign w:val="center"/>
          </w:tcPr>
          <w:p>
            <w:pPr>
              <w:spacing w:line="240" w:lineRule="exact"/>
              <w:rPr>
                <w:rFonts w:eastAsia="仿宋"/>
                <w:szCs w:val="21"/>
              </w:rPr>
            </w:pPr>
          </w:p>
        </w:tc>
        <w:tc>
          <w:tcPr>
            <w:tcW w:w="882" w:type="dxa"/>
            <w:tcBorders>
              <w:top w:val="single" w:color="000000" w:sz="4" w:space="0"/>
              <w:left w:val="nil"/>
              <w:bottom w:val="nil"/>
              <w:right w:val="nil"/>
            </w:tcBorders>
            <w:noWrap w:val="0"/>
            <w:tcMar>
              <w:top w:w="15" w:type="dxa"/>
              <w:left w:w="15" w:type="dxa"/>
              <w:right w:w="15" w:type="dxa"/>
            </w:tcMar>
            <w:vAlign w:val="center"/>
          </w:tcPr>
          <w:p>
            <w:pPr>
              <w:spacing w:line="240" w:lineRule="exact"/>
              <w:rPr>
                <w:rFonts w:eastAsia="仿宋"/>
                <w:szCs w:val="21"/>
              </w:rPr>
            </w:pPr>
          </w:p>
        </w:tc>
        <w:tc>
          <w:tcPr>
            <w:tcW w:w="1382" w:type="dxa"/>
            <w:tcBorders>
              <w:top w:val="single" w:color="000000" w:sz="4" w:space="0"/>
              <w:left w:val="nil"/>
              <w:bottom w:val="nil"/>
              <w:right w:val="nil"/>
            </w:tcBorders>
            <w:noWrap w:val="0"/>
            <w:tcMar>
              <w:top w:w="15" w:type="dxa"/>
              <w:left w:w="15" w:type="dxa"/>
              <w:right w:w="15" w:type="dxa"/>
            </w:tcMar>
            <w:vAlign w:val="center"/>
          </w:tcPr>
          <w:p>
            <w:pPr>
              <w:spacing w:line="240" w:lineRule="exact"/>
              <w:rPr>
                <w:rFonts w:eastAsia="仿宋"/>
                <w:szCs w:val="21"/>
              </w:rPr>
            </w:pPr>
          </w:p>
        </w:tc>
        <w:tc>
          <w:tcPr>
            <w:tcW w:w="1096" w:type="dxa"/>
            <w:tcBorders>
              <w:top w:val="single" w:color="000000" w:sz="4" w:space="0"/>
              <w:left w:val="nil"/>
              <w:bottom w:val="nil"/>
              <w:right w:val="nil"/>
            </w:tcBorders>
            <w:noWrap w:val="0"/>
            <w:tcMar>
              <w:top w:w="15" w:type="dxa"/>
              <w:left w:w="15" w:type="dxa"/>
              <w:right w:w="15" w:type="dxa"/>
            </w:tcMar>
            <w:vAlign w:val="center"/>
          </w:tcPr>
          <w:p>
            <w:pPr>
              <w:spacing w:line="240" w:lineRule="exact"/>
              <w:rPr>
                <w:rFonts w:eastAsia="仿宋"/>
                <w:szCs w:val="21"/>
              </w:rPr>
            </w:pPr>
          </w:p>
        </w:tc>
        <w:tc>
          <w:tcPr>
            <w:tcW w:w="687" w:type="dxa"/>
            <w:tcBorders>
              <w:top w:val="single" w:color="000000" w:sz="4" w:space="0"/>
              <w:left w:val="nil"/>
              <w:bottom w:val="nil"/>
              <w:right w:val="nil"/>
            </w:tcBorders>
            <w:noWrap w:val="0"/>
            <w:tcMar>
              <w:top w:w="15" w:type="dxa"/>
              <w:left w:w="15" w:type="dxa"/>
              <w:right w:w="15" w:type="dxa"/>
            </w:tcMar>
            <w:vAlign w:val="center"/>
          </w:tcPr>
          <w:p>
            <w:pPr>
              <w:spacing w:line="240" w:lineRule="exact"/>
              <w:rPr>
                <w:rFonts w:eastAsia="仿宋"/>
                <w:szCs w:val="21"/>
              </w:rPr>
            </w:pPr>
          </w:p>
        </w:tc>
        <w:tc>
          <w:tcPr>
            <w:tcW w:w="960" w:type="dxa"/>
            <w:tcBorders>
              <w:top w:val="single" w:color="000000" w:sz="4" w:space="0"/>
              <w:left w:val="nil"/>
              <w:bottom w:val="nil"/>
              <w:right w:val="single" w:color="000000" w:sz="4" w:space="0"/>
            </w:tcBorders>
            <w:noWrap w:val="0"/>
            <w:tcMar>
              <w:top w:w="15" w:type="dxa"/>
              <w:left w:w="15" w:type="dxa"/>
              <w:right w:w="15" w:type="dxa"/>
            </w:tcMar>
            <w:vAlign w:val="center"/>
          </w:tcPr>
          <w:p>
            <w:pPr>
              <w:spacing w:line="240" w:lineRule="exact"/>
              <w:rPr>
                <w:rFonts w:eastAsia="仿宋"/>
                <w:szCs w:val="21"/>
              </w:rPr>
            </w:pPr>
          </w:p>
        </w:tc>
      </w:tr>
      <w:tr>
        <w:tblPrEx>
          <w:tblCellMar>
            <w:top w:w="0" w:type="dxa"/>
            <w:left w:w="0" w:type="dxa"/>
            <w:bottom w:w="0" w:type="dxa"/>
            <w:right w:w="0" w:type="dxa"/>
          </w:tblCellMar>
        </w:tblPrEx>
        <w:trPr>
          <w:trHeight w:val="270" w:hRule="atLeast"/>
          <w:jc w:val="center"/>
        </w:trPr>
        <w:tc>
          <w:tcPr>
            <w:tcW w:w="1619"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spacing w:line="240" w:lineRule="exact"/>
              <w:jc w:val="center"/>
              <w:rPr>
                <w:rFonts w:eastAsia="仿宋"/>
                <w:szCs w:val="21"/>
              </w:rPr>
            </w:pPr>
          </w:p>
        </w:tc>
        <w:tc>
          <w:tcPr>
            <w:tcW w:w="886" w:type="dxa"/>
            <w:tcBorders>
              <w:top w:val="nil"/>
              <w:left w:val="nil"/>
              <w:bottom w:val="nil"/>
              <w:right w:val="nil"/>
            </w:tcBorders>
            <w:noWrap w:val="0"/>
            <w:tcMar>
              <w:top w:w="15" w:type="dxa"/>
              <w:left w:w="15" w:type="dxa"/>
              <w:right w:w="15" w:type="dxa"/>
            </w:tcMar>
            <w:vAlign w:val="center"/>
          </w:tcPr>
          <w:p>
            <w:pPr>
              <w:spacing w:line="240" w:lineRule="exact"/>
              <w:rPr>
                <w:rFonts w:eastAsia="仿宋"/>
                <w:szCs w:val="21"/>
              </w:rPr>
            </w:pPr>
          </w:p>
        </w:tc>
        <w:tc>
          <w:tcPr>
            <w:tcW w:w="1272" w:type="dxa"/>
            <w:tcBorders>
              <w:top w:val="nil"/>
              <w:left w:val="nil"/>
              <w:bottom w:val="nil"/>
              <w:right w:val="nil"/>
            </w:tcBorders>
            <w:noWrap w:val="0"/>
            <w:tcMar>
              <w:top w:w="15" w:type="dxa"/>
              <w:left w:w="15" w:type="dxa"/>
              <w:right w:w="15" w:type="dxa"/>
            </w:tcMar>
            <w:vAlign w:val="center"/>
          </w:tcPr>
          <w:p>
            <w:pPr>
              <w:spacing w:line="240" w:lineRule="exact"/>
              <w:rPr>
                <w:rFonts w:eastAsia="仿宋"/>
                <w:szCs w:val="21"/>
              </w:rPr>
            </w:pPr>
          </w:p>
        </w:tc>
        <w:tc>
          <w:tcPr>
            <w:tcW w:w="2433" w:type="dxa"/>
            <w:tcBorders>
              <w:top w:val="nil"/>
              <w:left w:val="nil"/>
              <w:bottom w:val="nil"/>
              <w:right w:val="single" w:color="000000" w:sz="4" w:space="0"/>
            </w:tcBorders>
            <w:noWrap w:val="0"/>
            <w:tcMar>
              <w:top w:w="15" w:type="dxa"/>
              <w:left w:w="15" w:type="dxa"/>
              <w:right w:w="15" w:type="dxa"/>
            </w:tcMar>
            <w:vAlign w:val="center"/>
          </w:tcPr>
          <w:p>
            <w:pPr>
              <w:spacing w:line="240" w:lineRule="exact"/>
              <w:rPr>
                <w:rFonts w:eastAsia="仿宋"/>
                <w:szCs w:val="21"/>
              </w:rPr>
            </w:pPr>
          </w:p>
        </w:tc>
        <w:tc>
          <w:tcPr>
            <w:tcW w:w="1470"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spacing w:line="240" w:lineRule="exact"/>
              <w:jc w:val="center"/>
              <w:rPr>
                <w:rFonts w:eastAsia="仿宋"/>
                <w:szCs w:val="21"/>
              </w:rPr>
            </w:pPr>
          </w:p>
        </w:tc>
        <w:tc>
          <w:tcPr>
            <w:tcW w:w="1080" w:type="dxa"/>
            <w:tcBorders>
              <w:top w:val="nil"/>
              <w:left w:val="nil"/>
              <w:bottom w:val="nil"/>
              <w:right w:val="nil"/>
            </w:tcBorders>
            <w:noWrap w:val="0"/>
            <w:tcMar>
              <w:top w:w="15" w:type="dxa"/>
              <w:left w:w="15" w:type="dxa"/>
              <w:right w:w="15" w:type="dxa"/>
            </w:tcMar>
            <w:vAlign w:val="center"/>
          </w:tcPr>
          <w:p>
            <w:pPr>
              <w:spacing w:line="240" w:lineRule="exact"/>
              <w:rPr>
                <w:rFonts w:eastAsia="仿宋"/>
                <w:szCs w:val="21"/>
              </w:rPr>
            </w:pPr>
          </w:p>
        </w:tc>
        <w:tc>
          <w:tcPr>
            <w:tcW w:w="1080" w:type="dxa"/>
            <w:tcBorders>
              <w:top w:val="nil"/>
              <w:left w:val="nil"/>
              <w:bottom w:val="nil"/>
              <w:right w:val="nil"/>
            </w:tcBorders>
            <w:noWrap w:val="0"/>
            <w:tcMar>
              <w:top w:w="15" w:type="dxa"/>
              <w:left w:w="15" w:type="dxa"/>
              <w:right w:w="15" w:type="dxa"/>
            </w:tcMar>
            <w:vAlign w:val="center"/>
          </w:tcPr>
          <w:p>
            <w:pPr>
              <w:spacing w:line="240" w:lineRule="exact"/>
              <w:rPr>
                <w:rFonts w:eastAsia="仿宋"/>
                <w:szCs w:val="21"/>
              </w:rPr>
            </w:pPr>
          </w:p>
        </w:tc>
        <w:tc>
          <w:tcPr>
            <w:tcW w:w="882" w:type="dxa"/>
            <w:tcBorders>
              <w:top w:val="nil"/>
              <w:left w:val="nil"/>
              <w:bottom w:val="nil"/>
              <w:right w:val="nil"/>
            </w:tcBorders>
            <w:noWrap w:val="0"/>
            <w:tcMar>
              <w:top w:w="15" w:type="dxa"/>
              <w:left w:w="15" w:type="dxa"/>
              <w:right w:w="15" w:type="dxa"/>
            </w:tcMar>
            <w:vAlign w:val="center"/>
          </w:tcPr>
          <w:p>
            <w:pPr>
              <w:spacing w:line="240" w:lineRule="exact"/>
              <w:rPr>
                <w:rFonts w:eastAsia="仿宋"/>
                <w:szCs w:val="21"/>
              </w:rPr>
            </w:pPr>
          </w:p>
        </w:tc>
        <w:tc>
          <w:tcPr>
            <w:tcW w:w="1382" w:type="dxa"/>
            <w:tcBorders>
              <w:top w:val="nil"/>
              <w:left w:val="nil"/>
              <w:bottom w:val="nil"/>
              <w:right w:val="nil"/>
            </w:tcBorders>
            <w:noWrap w:val="0"/>
            <w:tcMar>
              <w:top w:w="15" w:type="dxa"/>
              <w:left w:w="15" w:type="dxa"/>
              <w:right w:w="15" w:type="dxa"/>
            </w:tcMar>
            <w:vAlign w:val="center"/>
          </w:tcPr>
          <w:p>
            <w:pPr>
              <w:spacing w:line="240" w:lineRule="exact"/>
              <w:rPr>
                <w:rFonts w:eastAsia="仿宋"/>
                <w:szCs w:val="21"/>
              </w:rPr>
            </w:pPr>
          </w:p>
        </w:tc>
        <w:tc>
          <w:tcPr>
            <w:tcW w:w="1096" w:type="dxa"/>
            <w:tcBorders>
              <w:top w:val="nil"/>
              <w:left w:val="nil"/>
              <w:bottom w:val="nil"/>
              <w:right w:val="nil"/>
            </w:tcBorders>
            <w:noWrap w:val="0"/>
            <w:tcMar>
              <w:top w:w="15" w:type="dxa"/>
              <w:left w:w="15" w:type="dxa"/>
              <w:right w:w="15" w:type="dxa"/>
            </w:tcMar>
            <w:vAlign w:val="center"/>
          </w:tcPr>
          <w:p>
            <w:pPr>
              <w:spacing w:line="240" w:lineRule="exact"/>
              <w:rPr>
                <w:rFonts w:eastAsia="仿宋"/>
                <w:szCs w:val="21"/>
              </w:rPr>
            </w:pPr>
          </w:p>
        </w:tc>
        <w:tc>
          <w:tcPr>
            <w:tcW w:w="687" w:type="dxa"/>
            <w:tcBorders>
              <w:top w:val="nil"/>
              <w:left w:val="nil"/>
              <w:bottom w:val="nil"/>
              <w:right w:val="nil"/>
            </w:tcBorders>
            <w:noWrap w:val="0"/>
            <w:tcMar>
              <w:top w:w="15" w:type="dxa"/>
              <w:left w:w="15" w:type="dxa"/>
              <w:right w:w="15" w:type="dxa"/>
            </w:tcMar>
            <w:vAlign w:val="center"/>
          </w:tcPr>
          <w:p>
            <w:pPr>
              <w:spacing w:line="240" w:lineRule="exact"/>
              <w:rPr>
                <w:rFonts w:eastAsia="仿宋"/>
                <w:szCs w:val="21"/>
              </w:rPr>
            </w:pPr>
          </w:p>
        </w:tc>
        <w:tc>
          <w:tcPr>
            <w:tcW w:w="960" w:type="dxa"/>
            <w:tcBorders>
              <w:top w:val="nil"/>
              <w:left w:val="nil"/>
              <w:bottom w:val="nil"/>
              <w:right w:val="single" w:color="000000" w:sz="4" w:space="0"/>
            </w:tcBorders>
            <w:noWrap w:val="0"/>
            <w:tcMar>
              <w:top w:w="15" w:type="dxa"/>
              <w:left w:w="15" w:type="dxa"/>
              <w:right w:w="15" w:type="dxa"/>
            </w:tcMar>
            <w:vAlign w:val="center"/>
          </w:tcPr>
          <w:p>
            <w:pPr>
              <w:spacing w:line="240" w:lineRule="exact"/>
              <w:rPr>
                <w:rFonts w:eastAsia="仿宋"/>
                <w:szCs w:val="21"/>
              </w:rPr>
            </w:pPr>
          </w:p>
        </w:tc>
      </w:tr>
      <w:tr>
        <w:tblPrEx>
          <w:tblCellMar>
            <w:top w:w="0" w:type="dxa"/>
            <w:left w:w="0" w:type="dxa"/>
            <w:bottom w:w="0" w:type="dxa"/>
            <w:right w:w="0" w:type="dxa"/>
          </w:tblCellMar>
        </w:tblPrEx>
        <w:trPr>
          <w:trHeight w:val="90" w:hRule="atLeast"/>
          <w:jc w:val="center"/>
        </w:trPr>
        <w:tc>
          <w:tcPr>
            <w:tcW w:w="1619"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spacing w:line="240" w:lineRule="exact"/>
              <w:jc w:val="center"/>
              <w:rPr>
                <w:rFonts w:eastAsia="仿宋"/>
                <w:szCs w:val="21"/>
              </w:rPr>
            </w:pPr>
          </w:p>
        </w:tc>
        <w:tc>
          <w:tcPr>
            <w:tcW w:w="886" w:type="dxa"/>
            <w:tcBorders>
              <w:top w:val="nil"/>
              <w:left w:val="nil"/>
              <w:bottom w:val="single" w:color="000000" w:sz="4" w:space="0"/>
              <w:right w:val="nil"/>
            </w:tcBorders>
            <w:noWrap w:val="0"/>
            <w:tcMar>
              <w:top w:w="15" w:type="dxa"/>
              <w:left w:w="15" w:type="dxa"/>
              <w:right w:w="15" w:type="dxa"/>
            </w:tcMar>
            <w:vAlign w:val="center"/>
          </w:tcPr>
          <w:p>
            <w:pPr>
              <w:spacing w:line="240" w:lineRule="exact"/>
              <w:rPr>
                <w:rFonts w:eastAsia="仿宋"/>
                <w:szCs w:val="21"/>
              </w:rPr>
            </w:pPr>
          </w:p>
        </w:tc>
        <w:tc>
          <w:tcPr>
            <w:tcW w:w="1272" w:type="dxa"/>
            <w:tcBorders>
              <w:top w:val="nil"/>
              <w:left w:val="nil"/>
              <w:bottom w:val="single" w:color="000000" w:sz="4" w:space="0"/>
              <w:right w:val="nil"/>
            </w:tcBorders>
            <w:noWrap w:val="0"/>
            <w:tcMar>
              <w:top w:w="15" w:type="dxa"/>
              <w:left w:w="15" w:type="dxa"/>
              <w:right w:w="15" w:type="dxa"/>
            </w:tcMar>
            <w:vAlign w:val="center"/>
          </w:tcPr>
          <w:p>
            <w:pPr>
              <w:spacing w:line="240" w:lineRule="exact"/>
              <w:rPr>
                <w:rFonts w:eastAsia="仿宋"/>
                <w:szCs w:val="21"/>
              </w:rPr>
            </w:pPr>
          </w:p>
        </w:tc>
        <w:tc>
          <w:tcPr>
            <w:tcW w:w="2433" w:type="dxa"/>
            <w:tcBorders>
              <w:top w:val="nil"/>
              <w:left w:val="nil"/>
              <w:bottom w:val="single" w:color="000000" w:sz="4" w:space="0"/>
              <w:right w:val="single" w:color="000000" w:sz="4" w:space="0"/>
            </w:tcBorders>
            <w:noWrap w:val="0"/>
            <w:tcMar>
              <w:top w:w="15" w:type="dxa"/>
              <w:left w:w="15" w:type="dxa"/>
              <w:right w:w="15" w:type="dxa"/>
            </w:tcMar>
            <w:vAlign w:val="center"/>
          </w:tcPr>
          <w:p>
            <w:pPr>
              <w:spacing w:line="240" w:lineRule="exact"/>
              <w:rPr>
                <w:rFonts w:eastAsia="仿宋"/>
                <w:szCs w:val="21"/>
              </w:rPr>
            </w:pPr>
          </w:p>
        </w:tc>
        <w:tc>
          <w:tcPr>
            <w:tcW w:w="1470"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spacing w:line="240" w:lineRule="exact"/>
              <w:jc w:val="center"/>
              <w:rPr>
                <w:rFonts w:eastAsia="仿宋"/>
                <w:szCs w:val="21"/>
              </w:rPr>
            </w:pPr>
          </w:p>
        </w:tc>
        <w:tc>
          <w:tcPr>
            <w:tcW w:w="1080" w:type="dxa"/>
            <w:tcBorders>
              <w:top w:val="nil"/>
              <w:left w:val="nil"/>
              <w:bottom w:val="single" w:color="000000" w:sz="4" w:space="0"/>
              <w:right w:val="nil"/>
            </w:tcBorders>
            <w:noWrap w:val="0"/>
            <w:tcMar>
              <w:top w:w="15" w:type="dxa"/>
              <w:left w:w="15" w:type="dxa"/>
              <w:right w:w="15" w:type="dxa"/>
            </w:tcMar>
            <w:vAlign w:val="center"/>
          </w:tcPr>
          <w:p>
            <w:pPr>
              <w:spacing w:line="240" w:lineRule="exact"/>
              <w:rPr>
                <w:rFonts w:eastAsia="仿宋"/>
                <w:szCs w:val="21"/>
              </w:rPr>
            </w:pPr>
          </w:p>
        </w:tc>
        <w:tc>
          <w:tcPr>
            <w:tcW w:w="1080" w:type="dxa"/>
            <w:tcBorders>
              <w:top w:val="nil"/>
              <w:left w:val="nil"/>
              <w:bottom w:val="single" w:color="000000" w:sz="4" w:space="0"/>
              <w:right w:val="nil"/>
            </w:tcBorders>
            <w:noWrap w:val="0"/>
            <w:tcMar>
              <w:top w:w="15" w:type="dxa"/>
              <w:left w:w="15" w:type="dxa"/>
              <w:right w:w="15" w:type="dxa"/>
            </w:tcMar>
            <w:vAlign w:val="center"/>
          </w:tcPr>
          <w:p>
            <w:pPr>
              <w:spacing w:line="240" w:lineRule="exact"/>
              <w:rPr>
                <w:rFonts w:eastAsia="仿宋"/>
                <w:szCs w:val="21"/>
              </w:rPr>
            </w:pPr>
          </w:p>
        </w:tc>
        <w:tc>
          <w:tcPr>
            <w:tcW w:w="882" w:type="dxa"/>
            <w:tcBorders>
              <w:top w:val="nil"/>
              <w:left w:val="nil"/>
              <w:bottom w:val="single" w:color="000000" w:sz="4" w:space="0"/>
              <w:right w:val="nil"/>
            </w:tcBorders>
            <w:noWrap w:val="0"/>
            <w:tcMar>
              <w:top w:w="15" w:type="dxa"/>
              <w:left w:w="15" w:type="dxa"/>
              <w:right w:w="15" w:type="dxa"/>
            </w:tcMar>
            <w:vAlign w:val="center"/>
          </w:tcPr>
          <w:p>
            <w:pPr>
              <w:spacing w:line="240" w:lineRule="exact"/>
              <w:rPr>
                <w:rFonts w:eastAsia="仿宋"/>
                <w:szCs w:val="21"/>
              </w:rPr>
            </w:pPr>
          </w:p>
        </w:tc>
        <w:tc>
          <w:tcPr>
            <w:tcW w:w="1382" w:type="dxa"/>
            <w:tcBorders>
              <w:top w:val="nil"/>
              <w:left w:val="nil"/>
              <w:bottom w:val="single" w:color="000000" w:sz="4" w:space="0"/>
              <w:right w:val="nil"/>
            </w:tcBorders>
            <w:noWrap w:val="0"/>
            <w:tcMar>
              <w:top w:w="15" w:type="dxa"/>
              <w:left w:w="15" w:type="dxa"/>
              <w:right w:w="15" w:type="dxa"/>
            </w:tcMar>
            <w:vAlign w:val="center"/>
          </w:tcPr>
          <w:p>
            <w:pPr>
              <w:spacing w:line="240" w:lineRule="exact"/>
              <w:rPr>
                <w:rFonts w:eastAsia="仿宋"/>
                <w:szCs w:val="21"/>
              </w:rPr>
            </w:pPr>
          </w:p>
        </w:tc>
        <w:tc>
          <w:tcPr>
            <w:tcW w:w="1096" w:type="dxa"/>
            <w:tcBorders>
              <w:top w:val="nil"/>
              <w:left w:val="nil"/>
              <w:bottom w:val="single" w:color="000000" w:sz="4" w:space="0"/>
              <w:right w:val="nil"/>
            </w:tcBorders>
            <w:noWrap w:val="0"/>
            <w:tcMar>
              <w:top w:w="15" w:type="dxa"/>
              <w:left w:w="15" w:type="dxa"/>
              <w:right w:w="15" w:type="dxa"/>
            </w:tcMar>
            <w:vAlign w:val="center"/>
          </w:tcPr>
          <w:p>
            <w:pPr>
              <w:spacing w:line="240" w:lineRule="exact"/>
              <w:rPr>
                <w:rFonts w:eastAsia="仿宋"/>
                <w:szCs w:val="21"/>
              </w:rPr>
            </w:pPr>
          </w:p>
        </w:tc>
        <w:tc>
          <w:tcPr>
            <w:tcW w:w="687" w:type="dxa"/>
            <w:tcBorders>
              <w:top w:val="nil"/>
              <w:left w:val="nil"/>
              <w:bottom w:val="single" w:color="000000" w:sz="4" w:space="0"/>
              <w:right w:val="nil"/>
            </w:tcBorders>
            <w:noWrap w:val="0"/>
            <w:tcMar>
              <w:top w:w="15" w:type="dxa"/>
              <w:left w:w="15" w:type="dxa"/>
              <w:right w:w="15" w:type="dxa"/>
            </w:tcMar>
            <w:vAlign w:val="center"/>
          </w:tcPr>
          <w:p>
            <w:pPr>
              <w:spacing w:line="240" w:lineRule="exact"/>
              <w:rPr>
                <w:rFonts w:eastAsia="仿宋"/>
                <w:szCs w:val="21"/>
              </w:rPr>
            </w:pPr>
          </w:p>
        </w:tc>
        <w:tc>
          <w:tcPr>
            <w:tcW w:w="960" w:type="dxa"/>
            <w:tcBorders>
              <w:top w:val="nil"/>
              <w:left w:val="nil"/>
              <w:bottom w:val="single" w:color="000000" w:sz="4" w:space="0"/>
              <w:right w:val="single" w:color="000000" w:sz="4" w:space="0"/>
            </w:tcBorders>
            <w:noWrap w:val="0"/>
            <w:tcMar>
              <w:top w:w="15" w:type="dxa"/>
              <w:left w:w="15" w:type="dxa"/>
              <w:right w:w="15" w:type="dxa"/>
            </w:tcMar>
            <w:vAlign w:val="center"/>
          </w:tcPr>
          <w:p>
            <w:pPr>
              <w:spacing w:line="240" w:lineRule="exact"/>
              <w:rPr>
                <w:rFonts w:eastAsia="仿宋"/>
                <w:szCs w:val="21"/>
              </w:rPr>
            </w:pPr>
          </w:p>
        </w:tc>
      </w:tr>
      <w:tr>
        <w:tblPrEx>
          <w:tblCellMar>
            <w:top w:w="0" w:type="dxa"/>
            <w:left w:w="0" w:type="dxa"/>
            <w:bottom w:w="0" w:type="dxa"/>
            <w:right w:w="0" w:type="dxa"/>
          </w:tblCellMar>
        </w:tblPrEx>
        <w:trPr>
          <w:trHeight w:val="90" w:hRule="atLeast"/>
          <w:jc w:val="center"/>
        </w:trPr>
        <w:tc>
          <w:tcPr>
            <w:tcW w:w="1619" w:type="dxa"/>
            <w:tcBorders>
              <w:top w:val="single" w:color="000000" w:sz="4" w:space="0"/>
              <w:left w:val="single" w:color="000000" w:sz="4" w:space="0"/>
              <w:bottom w:val="nil"/>
              <w:right w:val="nil"/>
            </w:tcBorders>
            <w:noWrap w:val="0"/>
            <w:tcMar>
              <w:top w:w="15" w:type="dxa"/>
              <w:left w:w="15" w:type="dxa"/>
              <w:right w:w="15" w:type="dxa"/>
            </w:tcMar>
            <w:vAlign w:val="center"/>
          </w:tcPr>
          <w:p>
            <w:pPr>
              <w:spacing w:line="240" w:lineRule="exact"/>
              <w:rPr>
                <w:rFonts w:eastAsia="仿宋"/>
                <w:szCs w:val="21"/>
              </w:rPr>
            </w:pPr>
          </w:p>
        </w:tc>
        <w:tc>
          <w:tcPr>
            <w:tcW w:w="886" w:type="dxa"/>
            <w:tcBorders>
              <w:top w:val="single" w:color="000000" w:sz="4" w:space="0"/>
              <w:left w:val="nil"/>
              <w:bottom w:val="nil"/>
              <w:right w:val="nil"/>
            </w:tcBorders>
            <w:noWrap w:val="0"/>
            <w:tcMar>
              <w:top w:w="15" w:type="dxa"/>
              <w:left w:w="15" w:type="dxa"/>
              <w:right w:w="15" w:type="dxa"/>
            </w:tcMar>
            <w:vAlign w:val="center"/>
          </w:tcPr>
          <w:p>
            <w:pPr>
              <w:spacing w:line="240" w:lineRule="exact"/>
              <w:rPr>
                <w:rFonts w:eastAsia="仿宋"/>
                <w:szCs w:val="21"/>
              </w:rPr>
            </w:pPr>
          </w:p>
        </w:tc>
        <w:tc>
          <w:tcPr>
            <w:tcW w:w="1272" w:type="dxa"/>
            <w:tcBorders>
              <w:top w:val="single" w:color="000000" w:sz="4" w:space="0"/>
              <w:left w:val="nil"/>
              <w:bottom w:val="nil"/>
              <w:right w:val="nil"/>
            </w:tcBorders>
            <w:noWrap w:val="0"/>
            <w:tcMar>
              <w:top w:w="15" w:type="dxa"/>
              <w:left w:w="15" w:type="dxa"/>
              <w:right w:w="15" w:type="dxa"/>
            </w:tcMar>
            <w:vAlign w:val="center"/>
          </w:tcPr>
          <w:p>
            <w:pPr>
              <w:spacing w:line="240" w:lineRule="exact"/>
              <w:jc w:val="left"/>
              <w:textAlignment w:val="center"/>
              <w:rPr>
                <w:rFonts w:eastAsia="仿宋"/>
                <w:szCs w:val="21"/>
              </w:rPr>
            </w:pPr>
            <w:r>
              <w:rPr>
                <w:rFonts w:hint="eastAsia" w:eastAsia="仿宋"/>
                <w:kern w:val="0"/>
                <w:szCs w:val="21"/>
              </w:rPr>
              <w:t>负责人签字</w:t>
            </w:r>
          </w:p>
        </w:tc>
        <w:tc>
          <w:tcPr>
            <w:tcW w:w="2433" w:type="dxa"/>
            <w:tcBorders>
              <w:top w:val="single" w:color="000000" w:sz="4" w:space="0"/>
              <w:left w:val="nil"/>
              <w:bottom w:val="nil"/>
              <w:right w:val="single" w:color="000000" w:sz="4" w:space="0"/>
            </w:tcBorders>
            <w:noWrap w:val="0"/>
            <w:tcMar>
              <w:top w:w="15" w:type="dxa"/>
              <w:left w:w="15" w:type="dxa"/>
              <w:right w:w="15" w:type="dxa"/>
            </w:tcMar>
            <w:vAlign w:val="center"/>
          </w:tcPr>
          <w:p>
            <w:pPr>
              <w:spacing w:line="240" w:lineRule="exact"/>
              <w:rPr>
                <w:rFonts w:eastAsia="仿宋"/>
                <w:szCs w:val="21"/>
              </w:rPr>
            </w:pPr>
          </w:p>
        </w:tc>
        <w:tc>
          <w:tcPr>
            <w:tcW w:w="1470" w:type="dxa"/>
            <w:tcBorders>
              <w:top w:val="single" w:color="000000" w:sz="4" w:space="0"/>
              <w:left w:val="single" w:color="000000" w:sz="4" w:space="0"/>
              <w:bottom w:val="nil"/>
              <w:right w:val="nil"/>
            </w:tcBorders>
            <w:noWrap w:val="0"/>
            <w:tcMar>
              <w:top w:w="15" w:type="dxa"/>
              <w:left w:w="15" w:type="dxa"/>
              <w:right w:w="15" w:type="dxa"/>
            </w:tcMar>
            <w:vAlign w:val="center"/>
          </w:tcPr>
          <w:p>
            <w:pPr>
              <w:spacing w:line="240" w:lineRule="exact"/>
              <w:rPr>
                <w:rFonts w:eastAsia="仿宋"/>
                <w:szCs w:val="21"/>
              </w:rPr>
            </w:pPr>
          </w:p>
        </w:tc>
        <w:tc>
          <w:tcPr>
            <w:tcW w:w="1080" w:type="dxa"/>
            <w:tcBorders>
              <w:top w:val="single" w:color="000000" w:sz="4" w:space="0"/>
              <w:left w:val="nil"/>
              <w:bottom w:val="nil"/>
              <w:right w:val="nil"/>
            </w:tcBorders>
            <w:noWrap w:val="0"/>
            <w:tcMar>
              <w:top w:w="15" w:type="dxa"/>
              <w:left w:w="15" w:type="dxa"/>
              <w:right w:w="15" w:type="dxa"/>
            </w:tcMar>
            <w:vAlign w:val="center"/>
          </w:tcPr>
          <w:p>
            <w:pPr>
              <w:spacing w:line="240" w:lineRule="exact"/>
              <w:rPr>
                <w:rFonts w:eastAsia="仿宋"/>
                <w:szCs w:val="21"/>
              </w:rPr>
            </w:pPr>
          </w:p>
        </w:tc>
        <w:tc>
          <w:tcPr>
            <w:tcW w:w="1080" w:type="dxa"/>
            <w:tcBorders>
              <w:top w:val="single" w:color="000000" w:sz="4" w:space="0"/>
              <w:left w:val="nil"/>
              <w:bottom w:val="nil"/>
              <w:right w:val="nil"/>
            </w:tcBorders>
            <w:noWrap w:val="0"/>
            <w:tcMar>
              <w:top w:w="15" w:type="dxa"/>
              <w:left w:w="15" w:type="dxa"/>
              <w:right w:w="15" w:type="dxa"/>
            </w:tcMar>
            <w:vAlign w:val="center"/>
          </w:tcPr>
          <w:p>
            <w:pPr>
              <w:spacing w:line="240" w:lineRule="exact"/>
              <w:rPr>
                <w:rFonts w:eastAsia="仿宋"/>
                <w:szCs w:val="21"/>
              </w:rPr>
            </w:pPr>
          </w:p>
        </w:tc>
        <w:tc>
          <w:tcPr>
            <w:tcW w:w="882" w:type="dxa"/>
            <w:tcBorders>
              <w:top w:val="single" w:color="000000" w:sz="4" w:space="0"/>
              <w:left w:val="nil"/>
              <w:bottom w:val="nil"/>
              <w:right w:val="nil"/>
            </w:tcBorders>
            <w:noWrap w:val="0"/>
            <w:tcMar>
              <w:top w:w="15" w:type="dxa"/>
              <w:left w:w="15" w:type="dxa"/>
              <w:right w:w="15" w:type="dxa"/>
            </w:tcMar>
            <w:vAlign w:val="center"/>
          </w:tcPr>
          <w:p>
            <w:pPr>
              <w:spacing w:line="240" w:lineRule="exact"/>
              <w:rPr>
                <w:rFonts w:eastAsia="仿宋"/>
                <w:szCs w:val="21"/>
              </w:rPr>
            </w:pPr>
          </w:p>
        </w:tc>
        <w:tc>
          <w:tcPr>
            <w:tcW w:w="1382" w:type="dxa"/>
            <w:tcBorders>
              <w:top w:val="single" w:color="000000" w:sz="4" w:space="0"/>
              <w:left w:val="nil"/>
              <w:bottom w:val="nil"/>
              <w:right w:val="nil"/>
            </w:tcBorders>
            <w:noWrap w:val="0"/>
            <w:tcMar>
              <w:top w:w="15" w:type="dxa"/>
              <w:left w:w="15" w:type="dxa"/>
              <w:right w:w="15" w:type="dxa"/>
            </w:tcMar>
            <w:vAlign w:val="center"/>
          </w:tcPr>
          <w:p>
            <w:pPr>
              <w:spacing w:line="240" w:lineRule="exact"/>
              <w:jc w:val="left"/>
              <w:textAlignment w:val="center"/>
              <w:rPr>
                <w:rFonts w:eastAsia="仿宋"/>
                <w:szCs w:val="21"/>
              </w:rPr>
            </w:pPr>
            <w:r>
              <w:rPr>
                <w:rFonts w:hint="eastAsia" w:eastAsia="仿宋"/>
                <w:kern w:val="0"/>
                <w:szCs w:val="21"/>
              </w:rPr>
              <w:t>负责人签字</w:t>
            </w:r>
          </w:p>
        </w:tc>
        <w:tc>
          <w:tcPr>
            <w:tcW w:w="1096" w:type="dxa"/>
            <w:tcBorders>
              <w:top w:val="single" w:color="000000" w:sz="4" w:space="0"/>
              <w:left w:val="nil"/>
              <w:bottom w:val="nil"/>
              <w:right w:val="nil"/>
            </w:tcBorders>
            <w:noWrap w:val="0"/>
            <w:tcMar>
              <w:top w:w="15" w:type="dxa"/>
              <w:left w:w="15" w:type="dxa"/>
              <w:right w:w="15" w:type="dxa"/>
            </w:tcMar>
            <w:vAlign w:val="center"/>
          </w:tcPr>
          <w:p>
            <w:pPr>
              <w:spacing w:line="240" w:lineRule="exact"/>
              <w:rPr>
                <w:rFonts w:eastAsia="仿宋"/>
                <w:szCs w:val="21"/>
              </w:rPr>
            </w:pPr>
          </w:p>
        </w:tc>
        <w:tc>
          <w:tcPr>
            <w:tcW w:w="687" w:type="dxa"/>
            <w:tcBorders>
              <w:top w:val="single" w:color="000000" w:sz="4" w:space="0"/>
              <w:left w:val="nil"/>
              <w:bottom w:val="nil"/>
              <w:right w:val="nil"/>
            </w:tcBorders>
            <w:noWrap w:val="0"/>
            <w:tcMar>
              <w:top w:w="15" w:type="dxa"/>
              <w:left w:w="15" w:type="dxa"/>
              <w:right w:w="15" w:type="dxa"/>
            </w:tcMar>
            <w:vAlign w:val="center"/>
          </w:tcPr>
          <w:p>
            <w:pPr>
              <w:spacing w:line="240" w:lineRule="exact"/>
              <w:rPr>
                <w:rFonts w:eastAsia="仿宋"/>
                <w:szCs w:val="21"/>
              </w:rPr>
            </w:pPr>
          </w:p>
        </w:tc>
        <w:tc>
          <w:tcPr>
            <w:tcW w:w="960" w:type="dxa"/>
            <w:tcBorders>
              <w:top w:val="single" w:color="000000" w:sz="4" w:space="0"/>
              <w:left w:val="nil"/>
              <w:bottom w:val="nil"/>
              <w:right w:val="single" w:color="000000" w:sz="4" w:space="0"/>
            </w:tcBorders>
            <w:noWrap w:val="0"/>
            <w:tcMar>
              <w:top w:w="15" w:type="dxa"/>
              <w:left w:w="15" w:type="dxa"/>
              <w:right w:w="15" w:type="dxa"/>
            </w:tcMar>
            <w:vAlign w:val="center"/>
          </w:tcPr>
          <w:p>
            <w:pPr>
              <w:spacing w:line="240" w:lineRule="exact"/>
              <w:rPr>
                <w:rFonts w:eastAsia="仿宋"/>
                <w:szCs w:val="21"/>
              </w:rPr>
            </w:pPr>
          </w:p>
        </w:tc>
      </w:tr>
      <w:tr>
        <w:tblPrEx>
          <w:tblCellMar>
            <w:top w:w="0" w:type="dxa"/>
            <w:left w:w="0" w:type="dxa"/>
            <w:bottom w:w="0" w:type="dxa"/>
            <w:right w:w="0" w:type="dxa"/>
          </w:tblCellMar>
        </w:tblPrEx>
        <w:trPr>
          <w:trHeight w:val="90" w:hRule="atLeast"/>
          <w:jc w:val="center"/>
        </w:trPr>
        <w:tc>
          <w:tcPr>
            <w:tcW w:w="1619" w:type="dxa"/>
            <w:tcBorders>
              <w:top w:val="nil"/>
              <w:left w:val="single" w:color="000000" w:sz="4" w:space="0"/>
              <w:bottom w:val="nil"/>
              <w:right w:val="nil"/>
            </w:tcBorders>
            <w:noWrap w:val="0"/>
            <w:tcMar>
              <w:top w:w="15" w:type="dxa"/>
              <w:left w:w="15" w:type="dxa"/>
              <w:right w:w="15" w:type="dxa"/>
            </w:tcMar>
            <w:vAlign w:val="center"/>
          </w:tcPr>
          <w:p>
            <w:pPr>
              <w:spacing w:line="240" w:lineRule="exact"/>
              <w:jc w:val="center"/>
              <w:textAlignment w:val="center"/>
              <w:rPr>
                <w:rFonts w:eastAsia="仿宋"/>
                <w:szCs w:val="21"/>
              </w:rPr>
            </w:pPr>
            <w:r>
              <w:rPr>
                <w:rFonts w:hint="eastAsia" w:eastAsia="仿宋"/>
                <w:kern w:val="0"/>
                <w:szCs w:val="21"/>
              </w:rPr>
              <w:t>调查单位公章</w:t>
            </w:r>
          </w:p>
        </w:tc>
        <w:tc>
          <w:tcPr>
            <w:tcW w:w="886" w:type="dxa"/>
            <w:tcBorders>
              <w:top w:val="nil"/>
              <w:left w:val="nil"/>
              <w:bottom w:val="nil"/>
              <w:right w:val="nil"/>
            </w:tcBorders>
            <w:noWrap w:val="0"/>
            <w:tcMar>
              <w:top w:w="15" w:type="dxa"/>
              <w:left w:w="15" w:type="dxa"/>
              <w:right w:w="15" w:type="dxa"/>
            </w:tcMar>
            <w:vAlign w:val="center"/>
          </w:tcPr>
          <w:p>
            <w:pPr>
              <w:spacing w:line="240" w:lineRule="exact"/>
              <w:rPr>
                <w:rFonts w:eastAsia="仿宋"/>
                <w:szCs w:val="21"/>
              </w:rPr>
            </w:pPr>
          </w:p>
        </w:tc>
        <w:tc>
          <w:tcPr>
            <w:tcW w:w="1272" w:type="dxa"/>
            <w:tcBorders>
              <w:top w:val="nil"/>
              <w:left w:val="nil"/>
              <w:bottom w:val="nil"/>
              <w:right w:val="nil"/>
            </w:tcBorders>
            <w:noWrap w:val="0"/>
            <w:tcMar>
              <w:top w:w="15" w:type="dxa"/>
              <w:left w:w="15" w:type="dxa"/>
              <w:right w:w="15" w:type="dxa"/>
            </w:tcMar>
            <w:vAlign w:val="center"/>
          </w:tcPr>
          <w:p>
            <w:pPr>
              <w:spacing w:line="240" w:lineRule="exact"/>
              <w:rPr>
                <w:rFonts w:eastAsia="仿宋"/>
                <w:szCs w:val="21"/>
              </w:rPr>
            </w:pPr>
          </w:p>
        </w:tc>
        <w:tc>
          <w:tcPr>
            <w:tcW w:w="2433" w:type="dxa"/>
            <w:tcBorders>
              <w:top w:val="nil"/>
              <w:left w:val="nil"/>
              <w:bottom w:val="nil"/>
              <w:right w:val="single" w:color="000000" w:sz="4" w:space="0"/>
            </w:tcBorders>
            <w:noWrap w:val="0"/>
            <w:tcMar>
              <w:top w:w="15" w:type="dxa"/>
              <w:left w:w="15" w:type="dxa"/>
              <w:right w:w="15" w:type="dxa"/>
            </w:tcMar>
            <w:vAlign w:val="center"/>
          </w:tcPr>
          <w:p>
            <w:pPr>
              <w:spacing w:line="240" w:lineRule="exact"/>
              <w:rPr>
                <w:rFonts w:eastAsia="仿宋"/>
                <w:szCs w:val="21"/>
              </w:rPr>
            </w:pPr>
          </w:p>
        </w:tc>
        <w:tc>
          <w:tcPr>
            <w:tcW w:w="1470" w:type="dxa"/>
            <w:tcBorders>
              <w:top w:val="nil"/>
              <w:left w:val="single" w:color="000000" w:sz="4" w:space="0"/>
              <w:bottom w:val="nil"/>
              <w:right w:val="nil"/>
            </w:tcBorders>
            <w:noWrap w:val="0"/>
            <w:tcMar>
              <w:top w:w="15" w:type="dxa"/>
              <w:left w:w="15" w:type="dxa"/>
              <w:right w:w="15" w:type="dxa"/>
            </w:tcMar>
            <w:vAlign w:val="center"/>
          </w:tcPr>
          <w:p>
            <w:pPr>
              <w:spacing w:line="240" w:lineRule="exact"/>
              <w:jc w:val="center"/>
              <w:textAlignment w:val="center"/>
              <w:rPr>
                <w:rFonts w:eastAsia="仿宋"/>
                <w:szCs w:val="21"/>
              </w:rPr>
            </w:pPr>
            <w:r>
              <w:rPr>
                <w:rFonts w:hint="eastAsia" w:eastAsia="仿宋"/>
                <w:kern w:val="0"/>
                <w:szCs w:val="21"/>
              </w:rPr>
              <w:t>被调查单位盖公章</w:t>
            </w:r>
          </w:p>
        </w:tc>
        <w:tc>
          <w:tcPr>
            <w:tcW w:w="1080" w:type="dxa"/>
            <w:tcBorders>
              <w:top w:val="nil"/>
              <w:left w:val="nil"/>
              <w:bottom w:val="nil"/>
              <w:right w:val="nil"/>
            </w:tcBorders>
            <w:noWrap w:val="0"/>
            <w:tcMar>
              <w:top w:w="15" w:type="dxa"/>
              <w:left w:w="15" w:type="dxa"/>
              <w:right w:w="15" w:type="dxa"/>
            </w:tcMar>
            <w:vAlign w:val="center"/>
          </w:tcPr>
          <w:p>
            <w:pPr>
              <w:spacing w:line="240" w:lineRule="exact"/>
              <w:rPr>
                <w:rFonts w:eastAsia="仿宋"/>
                <w:szCs w:val="21"/>
              </w:rPr>
            </w:pPr>
          </w:p>
        </w:tc>
        <w:tc>
          <w:tcPr>
            <w:tcW w:w="1080" w:type="dxa"/>
            <w:tcBorders>
              <w:top w:val="nil"/>
              <w:left w:val="nil"/>
              <w:bottom w:val="nil"/>
              <w:right w:val="nil"/>
            </w:tcBorders>
            <w:noWrap w:val="0"/>
            <w:tcMar>
              <w:top w:w="15" w:type="dxa"/>
              <w:left w:w="15" w:type="dxa"/>
              <w:right w:w="15" w:type="dxa"/>
            </w:tcMar>
            <w:vAlign w:val="center"/>
          </w:tcPr>
          <w:p>
            <w:pPr>
              <w:spacing w:line="240" w:lineRule="exact"/>
              <w:rPr>
                <w:rFonts w:eastAsia="仿宋"/>
                <w:szCs w:val="21"/>
              </w:rPr>
            </w:pPr>
          </w:p>
        </w:tc>
        <w:tc>
          <w:tcPr>
            <w:tcW w:w="882" w:type="dxa"/>
            <w:tcBorders>
              <w:top w:val="nil"/>
              <w:left w:val="nil"/>
              <w:bottom w:val="nil"/>
              <w:right w:val="nil"/>
            </w:tcBorders>
            <w:noWrap w:val="0"/>
            <w:tcMar>
              <w:top w:w="15" w:type="dxa"/>
              <w:left w:w="15" w:type="dxa"/>
              <w:right w:w="15" w:type="dxa"/>
            </w:tcMar>
            <w:vAlign w:val="center"/>
          </w:tcPr>
          <w:p>
            <w:pPr>
              <w:spacing w:line="240" w:lineRule="exact"/>
              <w:rPr>
                <w:rFonts w:eastAsia="仿宋"/>
                <w:szCs w:val="21"/>
              </w:rPr>
            </w:pPr>
          </w:p>
        </w:tc>
        <w:tc>
          <w:tcPr>
            <w:tcW w:w="1382" w:type="dxa"/>
            <w:tcBorders>
              <w:top w:val="nil"/>
              <w:left w:val="nil"/>
              <w:bottom w:val="nil"/>
              <w:right w:val="nil"/>
            </w:tcBorders>
            <w:noWrap w:val="0"/>
            <w:tcMar>
              <w:top w:w="15" w:type="dxa"/>
              <w:left w:w="15" w:type="dxa"/>
              <w:right w:w="15" w:type="dxa"/>
            </w:tcMar>
            <w:vAlign w:val="center"/>
          </w:tcPr>
          <w:p>
            <w:pPr>
              <w:spacing w:line="240" w:lineRule="exact"/>
              <w:rPr>
                <w:rFonts w:eastAsia="仿宋"/>
                <w:szCs w:val="21"/>
              </w:rPr>
            </w:pPr>
          </w:p>
        </w:tc>
        <w:tc>
          <w:tcPr>
            <w:tcW w:w="1096" w:type="dxa"/>
            <w:tcBorders>
              <w:top w:val="nil"/>
              <w:left w:val="nil"/>
              <w:bottom w:val="nil"/>
              <w:right w:val="nil"/>
            </w:tcBorders>
            <w:noWrap w:val="0"/>
            <w:tcMar>
              <w:top w:w="15" w:type="dxa"/>
              <w:left w:w="15" w:type="dxa"/>
              <w:right w:w="15" w:type="dxa"/>
            </w:tcMar>
            <w:vAlign w:val="center"/>
          </w:tcPr>
          <w:p>
            <w:pPr>
              <w:spacing w:line="240" w:lineRule="exact"/>
              <w:rPr>
                <w:rFonts w:eastAsia="仿宋"/>
                <w:szCs w:val="21"/>
              </w:rPr>
            </w:pPr>
          </w:p>
        </w:tc>
        <w:tc>
          <w:tcPr>
            <w:tcW w:w="687" w:type="dxa"/>
            <w:tcBorders>
              <w:top w:val="nil"/>
              <w:left w:val="nil"/>
              <w:bottom w:val="nil"/>
              <w:right w:val="nil"/>
            </w:tcBorders>
            <w:noWrap w:val="0"/>
            <w:tcMar>
              <w:top w:w="15" w:type="dxa"/>
              <w:left w:w="15" w:type="dxa"/>
              <w:right w:w="15" w:type="dxa"/>
            </w:tcMar>
            <w:vAlign w:val="center"/>
          </w:tcPr>
          <w:p>
            <w:pPr>
              <w:spacing w:line="240" w:lineRule="exact"/>
              <w:rPr>
                <w:rFonts w:eastAsia="仿宋"/>
                <w:szCs w:val="21"/>
              </w:rPr>
            </w:pPr>
          </w:p>
        </w:tc>
        <w:tc>
          <w:tcPr>
            <w:tcW w:w="960" w:type="dxa"/>
            <w:tcBorders>
              <w:top w:val="nil"/>
              <w:left w:val="nil"/>
              <w:bottom w:val="nil"/>
              <w:right w:val="single" w:color="000000" w:sz="4" w:space="0"/>
            </w:tcBorders>
            <w:noWrap w:val="0"/>
            <w:tcMar>
              <w:top w:w="15" w:type="dxa"/>
              <w:left w:w="15" w:type="dxa"/>
              <w:right w:w="15" w:type="dxa"/>
            </w:tcMar>
            <w:vAlign w:val="center"/>
          </w:tcPr>
          <w:p>
            <w:pPr>
              <w:spacing w:line="240" w:lineRule="exact"/>
              <w:rPr>
                <w:rFonts w:eastAsia="仿宋"/>
                <w:szCs w:val="21"/>
              </w:rPr>
            </w:pPr>
          </w:p>
        </w:tc>
      </w:tr>
      <w:tr>
        <w:tblPrEx>
          <w:tblCellMar>
            <w:top w:w="0" w:type="dxa"/>
            <w:left w:w="0" w:type="dxa"/>
            <w:bottom w:w="0" w:type="dxa"/>
            <w:right w:w="0" w:type="dxa"/>
          </w:tblCellMar>
        </w:tblPrEx>
        <w:trPr>
          <w:trHeight w:val="90" w:hRule="atLeast"/>
          <w:jc w:val="center"/>
        </w:trPr>
        <w:tc>
          <w:tcPr>
            <w:tcW w:w="1619" w:type="dxa"/>
            <w:tcBorders>
              <w:top w:val="nil"/>
              <w:left w:val="single" w:color="000000" w:sz="4" w:space="0"/>
              <w:bottom w:val="single" w:color="000000" w:sz="4" w:space="0"/>
              <w:right w:val="nil"/>
            </w:tcBorders>
            <w:noWrap w:val="0"/>
            <w:tcMar>
              <w:top w:w="15" w:type="dxa"/>
              <w:left w:w="15" w:type="dxa"/>
              <w:right w:w="15" w:type="dxa"/>
            </w:tcMar>
            <w:vAlign w:val="center"/>
          </w:tcPr>
          <w:p>
            <w:pPr>
              <w:spacing w:line="240" w:lineRule="exact"/>
              <w:rPr>
                <w:rFonts w:eastAsia="仿宋"/>
                <w:szCs w:val="21"/>
              </w:rPr>
            </w:pPr>
          </w:p>
        </w:tc>
        <w:tc>
          <w:tcPr>
            <w:tcW w:w="886" w:type="dxa"/>
            <w:tcBorders>
              <w:top w:val="nil"/>
              <w:left w:val="nil"/>
              <w:bottom w:val="single" w:color="000000" w:sz="4" w:space="0"/>
              <w:right w:val="nil"/>
            </w:tcBorders>
            <w:noWrap w:val="0"/>
            <w:tcMar>
              <w:top w:w="15" w:type="dxa"/>
              <w:left w:w="15" w:type="dxa"/>
              <w:right w:w="15" w:type="dxa"/>
            </w:tcMar>
            <w:vAlign w:val="center"/>
          </w:tcPr>
          <w:p>
            <w:pPr>
              <w:spacing w:line="240" w:lineRule="exact"/>
              <w:rPr>
                <w:rFonts w:eastAsia="仿宋"/>
                <w:szCs w:val="21"/>
              </w:rPr>
            </w:pPr>
          </w:p>
        </w:tc>
        <w:tc>
          <w:tcPr>
            <w:tcW w:w="1272" w:type="dxa"/>
            <w:tcBorders>
              <w:top w:val="nil"/>
              <w:left w:val="nil"/>
              <w:bottom w:val="single" w:color="000000" w:sz="4" w:space="0"/>
              <w:right w:val="nil"/>
            </w:tcBorders>
            <w:noWrap w:val="0"/>
            <w:tcMar>
              <w:top w:w="15" w:type="dxa"/>
              <w:left w:w="15" w:type="dxa"/>
              <w:right w:w="15" w:type="dxa"/>
            </w:tcMar>
            <w:vAlign w:val="center"/>
          </w:tcPr>
          <w:p>
            <w:pPr>
              <w:spacing w:line="240" w:lineRule="exact"/>
              <w:jc w:val="left"/>
              <w:textAlignment w:val="center"/>
              <w:rPr>
                <w:rFonts w:eastAsia="仿宋"/>
                <w:szCs w:val="21"/>
              </w:rPr>
            </w:pPr>
            <w:r>
              <w:rPr>
                <w:rFonts w:hint="eastAsia" w:eastAsia="仿宋"/>
                <w:kern w:val="0"/>
                <w:szCs w:val="21"/>
              </w:rPr>
              <w:t>调查人签字</w:t>
            </w:r>
          </w:p>
        </w:tc>
        <w:tc>
          <w:tcPr>
            <w:tcW w:w="2433" w:type="dxa"/>
            <w:tcBorders>
              <w:top w:val="nil"/>
              <w:left w:val="nil"/>
              <w:bottom w:val="single" w:color="000000" w:sz="4" w:space="0"/>
              <w:right w:val="single" w:color="000000" w:sz="4" w:space="0"/>
            </w:tcBorders>
            <w:noWrap w:val="0"/>
            <w:tcMar>
              <w:top w:w="15" w:type="dxa"/>
              <w:left w:w="15" w:type="dxa"/>
              <w:right w:w="15" w:type="dxa"/>
            </w:tcMar>
            <w:vAlign w:val="center"/>
          </w:tcPr>
          <w:p>
            <w:pPr>
              <w:spacing w:line="240" w:lineRule="exact"/>
              <w:rPr>
                <w:rFonts w:eastAsia="仿宋"/>
                <w:szCs w:val="21"/>
              </w:rPr>
            </w:pPr>
          </w:p>
        </w:tc>
        <w:tc>
          <w:tcPr>
            <w:tcW w:w="1470" w:type="dxa"/>
            <w:tcBorders>
              <w:top w:val="nil"/>
              <w:left w:val="single" w:color="000000" w:sz="4" w:space="0"/>
              <w:bottom w:val="single" w:color="000000" w:sz="4" w:space="0"/>
              <w:right w:val="nil"/>
            </w:tcBorders>
            <w:noWrap w:val="0"/>
            <w:tcMar>
              <w:top w:w="15" w:type="dxa"/>
              <w:left w:w="15" w:type="dxa"/>
              <w:right w:w="15" w:type="dxa"/>
            </w:tcMar>
            <w:vAlign w:val="center"/>
          </w:tcPr>
          <w:p>
            <w:pPr>
              <w:spacing w:line="240" w:lineRule="exact"/>
              <w:rPr>
                <w:rFonts w:eastAsia="仿宋"/>
                <w:szCs w:val="21"/>
              </w:rPr>
            </w:pPr>
          </w:p>
        </w:tc>
        <w:tc>
          <w:tcPr>
            <w:tcW w:w="1080" w:type="dxa"/>
            <w:tcBorders>
              <w:top w:val="nil"/>
              <w:left w:val="nil"/>
              <w:bottom w:val="single" w:color="000000" w:sz="4" w:space="0"/>
              <w:right w:val="nil"/>
            </w:tcBorders>
            <w:noWrap w:val="0"/>
            <w:tcMar>
              <w:top w:w="15" w:type="dxa"/>
              <w:left w:w="15" w:type="dxa"/>
              <w:right w:w="15" w:type="dxa"/>
            </w:tcMar>
            <w:vAlign w:val="center"/>
          </w:tcPr>
          <w:p>
            <w:pPr>
              <w:spacing w:line="240" w:lineRule="exact"/>
              <w:rPr>
                <w:rFonts w:eastAsia="仿宋"/>
                <w:szCs w:val="21"/>
              </w:rPr>
            </w:pPr>
          </w:p>
        </w:tc>
        <w:tc>
          <w:tcPr>
            <w:tcW w:w="1080" w:type="dxa"/>
            <w:tcBorders>
              <w:top w:val="nil"/>
              <w:left w:val="nil"/>
              <w:bottom w:val="single" w:color="000000" w:sz="4" w:space="0"/>
              <w:right w:val="nil"/>
            </w:tcBorders>
            <w:noWrap w:val="0"/>
            <w:tcMar>
              <w:top w:w="15" w:type="dxa"/>
              <w:left w:w="15" w:type="dxa"/>
              <w:right w:w="15" w:type="dxa"/>
            </w:tcMar>
            <w:vAlign w:val="center"/>
          </w:tcPr>
          <w:p>
            <w:pPr>
              <w:spacing w:line="240" w:lineRule="exact"/>
              <w:rPr>
                <w:rFonts w:eastAsia="仿宋"/>
                <w:szCs w:val="21"/>
              </w:rPr>
            </w:pPr>
          </w:p>
        </w:tc>
        <w:tc>
          <w:tcPr>
            <w:tcW w:w="882" w:type="dxa"/>
            <w:tcBorders>
              <w:top w:val="nil"/>
              <w:left w:val="nil"/>
              <w:bottom w:val="single" w:color="000000" w:sz="4" w:space="0"/>
              <w:right w:val="nil"/>
            </w:tcBorders>
            <w:noWrap w:val="0"/>
            <w:tcMar>
              <w:top w:w="15" w:type="dxa"/>
              <w:left w:w="15" w:type="dxa"/>
              <w:right w:w="15" w:type="dxa"/>
            </w:tcMar>
            <w:vAlign w:val="center"/>
          </w:tcPr>
          <w:p>
            <w:pPr>
              <w:spacing w:line="240" w:lineRule="exact"/>
              <w:rPr>
                <w:rFonts w:eastAsia="仿宋"/>
                <w:szCs w:val="21"/>
              </w:rPr>
            </w:pPr>
          </w:p>
        </w:tc>
        <w:tc>
          <w:tcPr>
            <w:tcW w:w="1382" w:type="dxa"/>
            <w:tcBorders>
              <w:top w:val="nil"/>
              <w:left w:val="nil"/>
              <w:bottom w:val="single" w:color="000000" w:sz="4" w:space="0"/>
              <w:right w:val="nil"/>
            </w:tcBorders>
            <w:noWrap w:val="0"/>
            <w:tcMar>
              <w:top w:w="15" w:type="dxa"/>
              <w:left w:w="15" w:type="dxa"/>
              <w:right w:w="15" w:type="dxa"/>
            </w:tcMar>
            <w:vAlign w:val="center"/>
          </w:tcPr>
          <w:p>
            <w:pPr>
              <w:spacing w:line="240" w:lineRule="exact"/>
              <w:jc w:val="left"/>
              <w:textAlignment w:val="center"/>
              <w:rPr>
                <w:rFonts w:eastAsia="仿宋"/>
                <w:szCs w:val="21"/>
              </w:rPr>
            </w:pPr>
            <w:r>
              <w:rPr>
                <w:rFonts w:hint="eastAsia" w:eastAsia="仿宋"/>
                <w:kern w:val="0"/>
                <w:szCs w:val="21"/>
              </w:rPr>
              <w:t>调查人签字</w:t>
            </w:r>
          </w:p>
        </w:tc>
        <w:tc>
          <w:tcPr>
            <w:tcW w:w="1096" w:type="dxa"/>
            <w:tcBorders>
              <w:top w:val="nil"/>
              <w:left w:val="nil"/>
              <w:bottom w:val="single" w:color="000000" w:sz="4" w:space="0"/>
              <w:right w:val="nil"/>
            </w:tcBorders>
            <w:noWrap w:val="0"/>
            <w:tcMar>
              <w:top w:w="15" w:type="dxa"/>
              <w:left w:w="15" w:type="dxa"/>
              <w:right w:w="15" w:type="dxa"/>
            </w:tcMar>
            <w:vAlign w:val="center"/>
          </w:tcPr>
          <w:p>
            <w:pPr>
              <w:spacing w:line="240" w:lineRule="exact"/>
              <w:rPr>
                <w:rFonts w:eastAsia="仿宋"/>
                <w:szCs w:val="21"/>
              </w:rPr>
            </w:pPr>
          </w:p>
        </w:tc>
        <w:tc>
          <w:tcPr>
            <w:tcW w:w="687" w:type="dxa"/>
            <w:tcBorders>
              <w:top w:val="nil"/>
              <w:left w:val="nil"/>
              <w:bottom w:val="single" w:color="000000" w:sz="4" w:space="0"/>
              <w:right w:val="nil"/>
            </w:tcBorders>
            <w:noWrap w:val="0"/>
            <w:tcMar>
              <w:top w:w="15" w:type="dxa"/>
              <w:left w:w="15" w:type="dxa"/>
              <w:right w:w="15" w:type="dxa"/>
            </w:tcMar>
            <w:vAlign w:val="center"/>
          </w:tcPr>
          <w:p>
            <w:pPr>
              <w:spacing w:line="240" w:lineRule="exact"/>
              <w:rPr>
                <w:rFonts w:eastAsia="仿宋"/>
                <w:szCs w:val="21"/>
              </w:rPr>
            </w:pPr>
          </w:p>
        </w:tc>
        <w:tc>
          <w:tcPr>
            <w:tcW w:w="960" w:type="dxa"/>
            <w:tcBorders>
              <w:top w:val="nil"/>
              <w:left w:val="nil"/>
              <w:bottom w:val="single" w:color="000000" w:sz="4" w:space="0"/>
              <w:right w:val="single" w:color="000000" w:sz="4" w:space="0"/>
            </w:tcBorders>
            <w:noWrap w:val="0"/>
            <w:tcMar>
              <w:top w:w="15" w:type="dxa"/>
              <w:left w:w="15" w:type="dxa"/>
              <w:right w:w="15" w:type="dxa"/>
            </w:tcMar>
            <w:vAlign w:val="center"/>
          </w:tcPr>
          <w:p>
            <w:pPr>
              <w:spacing w:line="240" w:lineRule="exact"/>
              <w:rPr>
                <w:rFonts w:eastAsia="仿宋"/>
                <w:szCs w:val="21"/>
              </w:rPr>
            </w:pPr>
          </w:p>
        </w:tc>
      </w:tr>
      <w:tr>
        <w:tblPrEx>
          <w:tblCellMar>
            <w:top w:w="0" w:type="dxa"/>
            <w:left w:w="0" w:type="dxa"/>
            <w:bottom w:w="0" w:type="dxa"/>
            <w:right w:w="0" w:type="dxa"/>
          </w:tblCellMar>
        </w:tblPrEx>
        <w:trPr>
          <w:trHeight w:val="103" w:hRule="atLeast"/>
          <w:jc w:val="center"/>
        </w:trPr>
        <w:tc>
          <w:tcPr>
            <w:tcW w:w="1619" w:type="dxa"/>
            <w:tcBorders>
              <w:top w:val="nil"/>
              <w:left w:val="nil"/>
              <w:bottom w:val="nil"/>
              <w:right w:val="nil"/>
            </w:tcBorders>
            <w:noWrap w:val="0"/>
            <w:tcMar>
              <w:top w:w="15" w:type="dxa"/>
              <w:left w:w="15" w:type="dxa"/>
              <w:right w:w="15" w:type="dxa"/>
            </w:tcMar>
            <w:vAlign w:val="center"/>
          </w:tcPr>
          <w:p>
            <w:pPr>
              <w:spacing w:line="240" w:lineRule="exact"/>
              <w:jc w:val="left"/>
              <w:textAlignment w:val="center"/>
              <w:rPr>
                <w:rFonts w:eastAsia="仿宋"/>
                <w:szCs w:val="21"/>
              </w:rPr>
            </w:pPr>
            <w:r>
              <w:rPr>
                <w:rFonts w:hint="eastAsia" w:eastAsia="仿宋"/>
                <w:kern w:val="0"/>
                <w:szCs w:val="21"/>
              </w:rPr>
              <w:t>调查时间：</w:t>
            </w:r>
          </w:p>
        </w:tc>
        <w:tc>
          <w:tcPr>
            <w:tcW w:w="886" w:type="dxa"/>
            <w:tcBorders>
              <w:top w:val="nil"/>
              <w:left w:val="nil"/>
              <w:bottom w:val="nil"/>
              <w:right w:val="nil"/>
            </w:tcBorders>
            <w:noWrap w:val="0"/>
            <w:tcMar>
              <w:top w:w="15" w:type="dxa"/>
              <w:left w:w="15" w:type="dxa"/>
              <w:right w:w="15" w:type="dxa"/>
            </w:tcMar>
            <w:vAlign w:val="center"/>
          </w:tcPr>
          <w:p>
            <w:pPr>
              <w:spacing w:line="240" w:lineRule="exact"/>
              <w:rPr>
                <w:rFonts w:eastAsia="仿宋"/>
                <w:szCs w:val="21"/>
              </w:rPr>
            </w:pPr>
          </w:p>
        </w:tc>
        <w:tc>
          <w:tcPr>
            <w:tcW w:w="1272" w:type="dxa"/>
            <w:tcBorders>
              <w:top w:val="nil"/>
              <w:left w:val="nil"/>
              <w:bottom w:val="nil"/>
              <w:right w:val="nil"/>
            </w:tcBorders>
            <w:noWrap w:val="0"/>
            <w:tcMar>
              <w:top w:w="15" w:type="dxa"/>
              <w:left w:w="15" w:type="dxa"/>
              <w:right w:w="15" w:type="dxa"/>
            </w:tcMar>
            <w:vAlign w:val="center"/>
          </w:tcPr>
          <w:p>
            <w:pPr>
              <w:spacing w:line="240" w:lineRule="exact"/>
              <w:rPr>
                <w:rFonts w:eastAsia="仿宋"/>
                <w:szCs w:val="21"/>
              </w:rPr>
            </w:pPr>
          </w:p>
        </w:tc>
        <w:tc>
          <w:tcPr>
            <w:tcW w:w="2433" w:type="dxa"/>
            <w:tcBorders>
              <w:top w:val="nil"/>
              <w:left w:val="nil"/>
              <w:bottom w:val="nil"/>
              <w:right w:val="nil"/>
            </w:tcBorders>
            <w:noWrap w:val="0"/>
            <w:tcMar>
              <w:top w:w="15" w:type="dxa"/>
              <w:left w:w="15" w:type="dxa"/>
              <w:right w:w="15" w:type="dxa"/>
            </w:tcMar>
            <w:vAlign w:val="center"/>
          </w:tcPr>
          <w:p>
            <w:pPr>
              <w:spacing w:line="240" w:lineRule="exact"/>
              <w:rPr>
                <w:rFonts w:eastAsia="仿宋"/>
                <w:szCs w:val="21"/>
              </w:rPr>
            </w:pPr>
          </w:p>
        </w:tc>
        <w:tc>
          <w:tcPr>
            <w:tcW w:w="1470" w:type="dxa"/>
            <w:tcBorders>
              <w:top w:val="nil"/>
              <w:left w:val="nil"/>
              <w:bottom w:val="nil"/>
              <w:right w:val="nil"/>
            </w:tcBorders>
            <w:noWrap w:val="0"/>
            <w:tcMar>
              <w:top w:w="15" w:type="dxa"/>
              <w:left w:w="15" w:type="dxa"/>
              <w:right w:w="15" w:type="dxa"/>
            </w:tcMar>
            <w:vAlign w:val="center"/>
          </w:tcPr>
          <w:p>
            <w:pPr>
              <w:spacing w:line="240" w:lineRule="exact"/>
              <w:rPr>
                <w:rFonts w:eastAsia="仿宋"/>
                <w:szCs w:val="21"/>
              </w:rPr>
            </w:pPr>
          </w:p>
        </w:tc>
        <w:tc>
          <w:tcPr>
            <w:tcW w:w="1080" w:type="dxa"/>
            <w:tcBorders>
              <w:top w:val="nil"/>
              <w:left w:val="nil"/>
              <w:bottom w:val="nil"/>
              <w:right w:val="nil"/>
            </w:tcBorders>
            <w:noWrap w:val="0"/>
            <w:tcMar>
              <w:top w:w="15" w:type="dxa"/>
              <w:left w:w="15" w:type="dxa"/>
              <w:right w:w="15" w:type="dxa"/>
            </w:tcMar>
            <w:vAlign w:val="center"/>
          </w:tcPr>
          <w:p>
            <w:pPr>
              <w:spacing w:line="240" w:lineRule="exact"/>
              <w:rPr>
                <w:rFonts w:eastAsia="仿宋"/>
                <w:szCs w:val="21"/>
              </w:rPr>
            </w:pPr>
          </w:p>
        </w:tc>
        <w:tc>
          <w:tcPr>
            <w:tcW w:w="1080" w:type="dxa"/>
            <w:tcBorders>
              <w:top w:val="nil"/>
              <w:left w:val="nil"/>
              <w:bottom w:val="nil"/>
              <w:right w:val="nil"/>
            </w:tcBorders>
            <w:noWrap w:val="0"/>
            <w:tcMar>
              <w:top w:w="15" w:type="dxa"/>
              <w:left w:w="15" w:type="dxa"/>
              <w:right w:w="15" w:type="dxa"/>
            </w:tcMar>
            <w:vAlign w:val="center"/>
          </w:tcPr>
          <w:p>
            <w:pPr>
              <w:spacing w:line="240" w:lineRule="exact"/>
              <w:rPr>
                <w:rFonts w:eastAsia="仿宋"/>
                <w:szCs w:val="21"/>
              </w:rPr>
            </w:pPr>
          </w:p>
        </w:tc>
        <w:tc>
          <w:tcPr>
            <w:tcW w:w="882" w:type="dxa"/>
            <w:tcBorders>
              <w:top w:val="nil"/>
              <w:left w:val="nil"/>
              <w:bottom w:val="nil"/>
              <w:right w:val="nil"/>
            </w:tcBorders>
            <w:noWrap w:val="0"/>
            <w:tcMar>
              <w:top w:w="15" w:type="dxa"/>
              <w:left w:w="15" w:type="dxa"/>
              <w:right w:w="15" w:type="dxa"/>
            </w:tcMar>
            <w:vAlign w:val="center"/>
          </w:tcPr>
          <w:p>
            <w:pPr>
              <w:spacing w:line="240" w:lineRule="exact"/>
              <w:rPr>
                <w:rFonts w:eastAsia="仿宋"/>
                <w:szCs w:val="21"/>
              </w:rPr>
            </w:pPr>
          </w:p>
        </w:tc>
        <w:tc>
          <w:tcPr>
            <w:tcW w:w="1382" w:type="dxa"/>
            <w:tcBorders>
              <w:top w:val="nil"/>
              <w:left w:val="nil"/>
              <w:bottom w:val="nil"/>
              <w:right w:val="nil"/>
            </w:tcBorders>
            <w:noWrap w:val="0"/>
            <w:tcMar>
              <w:top w:w="15" w:type="dxa"/>
              <w:left w:w="15" w:type="dxa"/>
              <w:right w:w="15" w:type="dxa"/>
            </w:tcMar>
            <w:vAlign w:val="center"/>
          </w:tcPr>
          <w:p>
            <w:pPr>
              <w:spacing w:line="240" w:lineRule="exact"/>
              <w:jc w:val="left"/>
              <w:textAlignment w:val="center"/>
              <w:rPr>
                <w:rFonts w:eastAsia="仿宋"/>
                <w:szCs w:val="21"/>
              </w:rPr>
            </w:pPr>
            <w:r>
              <w:rPr>
                <w:rFonts w:hint="eastAsia" w:eastAsia="仿宋"/>
                <w:kern w:val="0"/>
                <w:szCs w:val="21"/>
              </w:rPr>
              <w:t>制表：</w:t>
            </w:r>
          </w:p>
        </w:tc>
        <w:tc>
          <w:tcPr>
            <w:tcW w:w="1096" w:type="dxa"/>
            <w:tcBorders>
              <w:top w:val="nil"/>
              <w:left w:val="nil"/>
              <w:bottom w:val="nil"/>
              <w:right w:val="nil"/>
            </w:tcBorders>
            <w:noWrap w:val="0"/>
            <w:tcMar>
              <w:top w:w="15" w:type="dxa"/>
              <w:left w:w="15" w:type="dxa"/>
              <w:right w:w="15" w:type="dxa"/>
            </w:tcMar>
            <w:vAlign w:val="center"/>
          </w:tcPr>
          <w:p>
            <w:pPr>
              <w:spacing w:line="240" w:lineRule="exact"/>
              <w:rPr>
                <w:rFonts w:eastAsia="仿宋"/>
                <w:szCs w:val="21"/>
              </w:rPr>
            </w:pPr>
          </w:p>
        </w:tc>
        <w:tc>
          <w:tcPr>
            <w:tcW w:w="687" w:type="dxa"/>
            <w:tcBorders>
              <w:top w:val="nil"/>
              <w:left w:val="nil"/>
              <w:bottom w:val="nil"/>
              <w:right w:val="nil"/>
            </w:tcBorders>
            <w:noWrap w:val="0"/>
            <w:tcMar>
              <w:top w:w="15" w:type="dxa"/>
              <w:left w:w="15" w:type="dxa"/>
              <w:right w:w="15" w:type="dxa"/>
            </w:tcMar>
            <w:vAlign w:val="center"/>
          </w:tcPr>
          <w:p>
            <w:pPr>
              <w:spacing w:line="240" w:lineRule="exact"/>
              <w:rPr>
                <w:rFonts w:eastAsia="仿宋"/>
                <w:szCs w:val="21"/>
              </w:rPr>
            </w:pPr>
          </w:p>
        </w:tc>
        <w:tc>
          <w:tcPr>
            <w:tcW w:w="960" w:type="dxa"/>
            <w:tcBorders>
              <w:top w:val="nil"/>
              <w:left w:val="nil"/>
              <w:bottom w:val="nil"/>
              <w:right w:val="nil"/>
            </w:tcBorders>
            <w:noWrap w:val="0"/>
            <w:tcMar>
              <w:top w:w="15" w:type="dxa"/>
              <w:left w:w="15" w:type="dxa"/>
              <w:right w:w="15" w:type="dxa"/>
            </w:tcMar>
            <w:vAlign w:val="center"/>
          </w:tcPr>
          <w:p>
            <w:pPr>
              <w:spacing w:line="240" w:lineRule="exact"/>
              <w:rPr>
                <w:rFonts w:eastAsia="仿宋"/>
                <w:szCs w:val="21"/>
              </w:rPr>
            </w:pPr>
          </w:p>
        </w:tc>
      </w:tr>
    </w:tbl>
    <w:p/>
    <w:p/>
    <w:p>
      <w:pPr>
        <w:jc w:val="left"/>
        <w:textAlignment w:val="center"/>
        <w:rPr>
          <w:rFonts w:eastAsia="仿宋"/>
          <w:kern w:val="0"/>
          <w:sz w:val="20"/>
          <w:szCs w:val="20"/>
        </w:rPr>
        <w:sectPr>
          <w:pgSz w:w="16838" w:h="11906" w:orient="landscape"/>
          <w:pgMar w:top="1417" w:right="1134" w:bottom="1134" w:left="1134" w:header="851" w:footer="1474" w:gutter="0"/>
          <w:pgNumType w:fmt="decimal"/>
          <w:cols w:space="720" w:num="1"/>
          <w:docGrid w:linePitch="312" w:charSpace="0"/>
        </w:sectPr>
      </w:pPr>
    </w:p>
    <w:p>
      <w:pPr>
        <w:snapToGrid w:val="0"/>
        <w:spacing w:line="276" w:lineRule="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ascii="方正黑体_GBK" w:hAnsi="方正黑体_GBK" w:eastAsia="方正黑体_GBK" w:cs="方正黑体_GBK"/>
          <w:sz w:val="32"/>
          <w:szCs w:val="32"/>
        </w:rPr>
        <w:t>3</w:t>
      </w:r>
    </w:p>
    <w:p>
      <w:pPr>
        <w:spacing w:before="100" w:after="100" w:line="594"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kern w:val="0"/>
          <w:sz w:val="36"/>
          <w:szCs w:val="36"/>
        </w:rPr>
        <w:t>永川区城镇化粪池整改通知书</w:t>
      </w:r>
    </w:p>
    <w:p>
      <w:pPr>
        <w:spacing w:before="100" w:after="100" w:line="594" w:lineRule="exact"/>
        <w:jc w:val="left"/>
        <w:rPr>
          <w:rFonts w:ascii="方正仿宋_GBK" w:hAnsi="方正仿宋_GBK" w:eastAsia="方正仿宋_GBK" w:cs="方正仿宋_GBK"/>
          <w:kern w:val="0"/>
          <w:sz w:val="32"/>
          <w:szCs w:val="32"/>
        </w:rPr>
      </w:pPr>
    </w:p>
    <w:p>
      <w:pPr>
        <w:spacing w:before="100" w:after="100" w:line="594" w:lineRule="exact"/>
        <w:jc w:val="left"/>
        <w:rPr>
          <w:rFonts w:ascii="方正仿宋_GBK" w:hAnsi="方正仿宋_GBK" w:eastAsia="方正仿宋_GBK" w:cs="方正仿宋_GBK"/>
          <w:sz w:val="32"/>
          <w:szCs w:val="32"/>
        </w:rPr>
      </w:pPr>
      <w:r>
        <w:rPr>
          <w:rFonts w:ascii="方正仿宋_GBK" w:hAnsi="方正仿宋_GBK" w:eastAsia="方正仿宋_GBK" w:cs="方正仿宋_GBK"/>
          <w:kern w:val="0"/>
          <w:sz w:val="32"/>
          <w:szCs w:val="32"/>
        </w:rPr>
        <w:t>_______</w:t>
      </w:r>
      <w:r>
        <w:rPr>
          <w:rFonts w:hint="eastAsia" w:ascii="方正仿宋_GBK" w:hAnsi="方正仿宋_GBK" w:eastAsia="方正仿宋_GBK" w:cs="方正仿宋_GBK"/>
          <w:kern w:val="0"/>
          <w:sz w:val="32"/>
          <w:szCs w:val="32"/>
        </w:rPr>
        <w:t>：</w:t>
      </w:r>
    </w:p>
    <w:p>
      <w:pPr>
        <w:spacing w:before="100" w:after="100" w:line="594" w:lineRule="exact"/>
        <w:ind w:firstLine="64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经调查检测，你单位所属</w:t>
      </w:r>
      <w:r>
        <w:rPr>
          <w:rFonts w:ascii="方正仿宋_GBK" w:hAnsi="方正仿宋_GBK" w:eastAsia="方正仿宋_GBK" w:cs="方正仿宋_GBK"/>
          <w:kern w:val="0"/>
          <w:sz w:val="32"/>
          <w:szCs w:val="32"/>
        </w:rPr>
        <w:t>__________</w:t>
      </w:r>
      <w:r>
        <w:rPr>
          <w:rFonts w:hint="eastAsia" w:ascii="方正仿宋_GBK" w:hAnsi="方正仿宋_GBK" w:eastAsia="方正仿宋_GBK" w:cs="方正仿宋_GBK"/>
          <w:kern w:val="0"/>
          <w:sz w:val="32"/>
          <w:szCs w:val="32"/>
        </w:rPr>
        <w:t>化粪池，因</w:t>
      </w:r>
      <w:r>
        <w:rPr>
          <w:rFonts w:ascii="方正仿宋_GBK" w:hAnsi="方正仿宋_GBK" w:eastAsia="方正仿宋_GBK" w:cs="方正仿宋_GBK"/>
          <w:kern w:val="0"/>
          <w:sz w:val="32"/>
          <w:szCs w:val="32"/>
        </w:rPr>
        <w:t>_______</w:t>
      </w:r>
      <w:r>
        <w:rPr>
          <w:rFonts w:hint="eastAsia" w:ascii="方正仿宋_GBK" w:hAnsi="方正仿宋_GBK" w:eastAsia="方正仿宋_GBK" w:cs="方正仿宋_GBK"/>
          <w:kern w:val="0"/>
          <w:sz w:val="32"/>
          <w:szCs w:val="32"/>
        </w:rPr>
        <w:t>严重影响安全及无污染运行，应停止使用。请你单位在接到本通知书之日起，</w:t>
      </w:r>
      <w:r>
        <w:rPr>
          <w:rFonts w:ascii="方正仿宋_GBK" w:hAnsi="方正仿宋_GBK" w:eastAsia="方正仿宋_GBK" w:cs="方正仿宋_GBK"/>
          <w:kern w:val="0"/>
          <w:sz w:val="32"/>
          <w:szCs w:val="32"/>
        </w:rPr>
        <w:t>______</w:t>
      </w:r>
      <w:r>
        <w:rPr>
          <w:rFonts w:hint="eastAsia" w:ascii="方正仿宋_GBK" w:hAnsi="方正仿宋_GBK" w:eastAsia="方正仿宋_GBK" w:cs="方正仿宋_GBK"/>
          <w:kern w:val="0"/>
          <w:sz w:val="32"/>
          <w:szCs w:val="32"/>
        </w:rPr>
        <w:t>日内对其进行整治、清掏维护，并经验收合格后方可投入使用。逾期不整改的将按有关规定进行处罚。</w:t>
      </w:r>
    </w:p>
    <w:p>
      <w:pPr>
        <w:spacing w:before="100" w:after="100" w:line="594" w:lineRule="exact"/>
        <w:ind w:firstLine="640"/>
        <w:jc w:val="left"/>
        <w:rPr>
          <w:rFonts w:ascii="方正仿宋_GBK" w:hAnsi="方正仿宋_GBK" w:eastAsia="方正仿宋_GBK" w:cs="方正仿宋_GBK"/>
          <w:kern w:val="0"/>
          <w:sz w:val="32"/>
          <w:szCs w:val="32"/>
        </w:rPr>
      </w:pPr>
    </w:p>
    <w:p>
      <w:pPr>
        <w:spacing w:before="100" w:after="100" w:line="594" w:lineRule="exact"/>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签收单位：</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送达单位（章）：</w:t>
      </w:r>
    </w:p>
    <w:p>
      <w:pPr>
        <w:spacing w:before="100" w:after="100" w:line="594" w:lineRule="exact"/>
        <w:jc w:val="left"/>
        <w:rPr>
          <w:rFonts w:ascii="方正仿宋_GBK" w:hAnsi="方正仿宋_GBK" w:eastAsia="方正仿宋_GBK" w:cs="方正仿宋_GBK"/>
          <w:kern w:val="0"/>
          <w:sz w:val="32"/>
          <w:szCs w:val="32"/>
        </w:rPr>
      </w:pPr>
    </w:p>
    <w:p>
      <w:pPr>
        <w:spacing w:before="100" w:after="100" w:line="594" w:lineRule="exact"/>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签收人：</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年</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月</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日</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送达人：</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年</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月</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日</w:t>
      </w:r>
    </w:p>
    <w:p>
      <w:pPr>
        <w:spacing w:before="100" w:after="100" w:line="594" w:lineRule="exact"/>
        <w:jc w:val="left"/>
        <w:rPr>
          <w:rFonts w:ascii="方正仿宋_GBK" w:hAnsi="方正仿宋_GBK" w:eastAsia="方正仿宋_GBK" w:cs="方正仿宋_GBK"/>
          <w:kern w:val="0"/>
          <w:sz w:val="32"/>
          <w:szCs w:val="32"/>
        </w:rPr>
      </w:pPr>
    </w:p>
    <w:p>
      <w:pPr>
        <w:spacing w:before="100" w:after="100" w:line="594" w:lineRule="exact"/>
        <w:ind w:left="1216" w:leftChars="305" w:hanging="576" w:hangingChars="180"/>
        <w:jc w:val="left"/>
        <w:sectPr>
          <w:pgSz w:w="11906" w:h="16838"/>
          <w:pgMar w:top="2098" w:right="1474" w:bottom="1984" w:left="1587" w:header="851" w:footer="1474" w:gutter="0"/>
          <w:pgNumType w:fmt="decimal"/>
          <w:cols w:space="720" w:num="1"/>
          <w:docGrid w:linePitch="312" w:charSpace="0"/>
        </w:sectPr>
      </w:pPr>
      <w:r>
        <w:rPr>
          <w:rFonts w:hint="eastAsia" w:ascii="方正仿宋_GBK" w:hAnsi="方正仿宋_GBK" w:eastAsia="方正仿宋_GBK" w:cs="方正仿宋_GBK"/>
          <w:kern w:val="0"/>
          <w:sz w:val="32"/>
          <w:szCs w:val="32"/>
        </w:rPr>
        <w:t>注：整改原因一般为长期未清掏、池体堵塞、导气管道堵塞、出入水管网堵塞、粪便满溢、气体泄漏、设施残缺破损等。</w:t>
      </w:r>
    </w:p>
    <w:p>
      <w:pPr>
        <w:snapToGrid w:val="0"/>
        <w:spacing w:line="276" w:lineRule="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ascii="方正黑体_GBK" w:hAnsi="方正黑体_GBK" w:eastAsia="方正黑体_GBK" w:cs="方正黑体_GBK"/>
          <w:sz w:val="32"/>
          <w:szCs w:val="32"/>
        </w:rPr>
        <w:t>4</w:t>
      </w:r>
    </w:p>
    <w:p>
      <w:pPr>
        <w:spacing w:before="100" w:after="100" w:line="594" w:lineRule="exact"/>
        <w:jc w:val="center"/>
        <w:rPr>
          <w:rFonts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rPr>
        <w:t>永川区城镇化粪池清掏作业规范</w:t>
      </w:r>
    </w:p>
    <w:p>
      <w:pPr>
        <w:snapToGrid w:val="0"/>
        <w:spacing w:line="276" w:lineRule="auto"/>
        <w:ind w:firstLine="640" w:firstLineChars="200"/>
        <w:rPr>
          <w:rFonts w:eastAsia="方正楷体_GBK"/>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黑体_GBK" w:eastAsia="方正黑体_GBK"/>
          <w:sz w:val="32"/>
          <w:szCs w:val="32"/>
        </w:rPr>
      </w:pPr>
      <w:r>
        <w:rPr>
          <w:rFonts w:hint="eastAsia" w:ascii="方正黑体_GBK" w:eastAsia="方正黑体_GBK"/>
          <w:sz w:val="32"/>
          <w:szCs w:val="32"/>
        </w:rPr>
        <w:t>一、化粪池清掏作业程序</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eastAsia="方正仿宋_GBK"/>
          <w:sz w:val="32"/>
          <w:szCs w:val="32"/>
        </w:rPr>
      </w:pPr>
      <w:r>
        <w:rPr>
          <w:rFonts w:hint="eastAsia" w:eastAsia="方正仿宋_GBK"/>
          <w:sz w:val="32"/>
          <w:szCs w:val="32"/>
        </w:rPr>
        <w:t>（一）用铁钩打开化粪池的盖板</w:t>
      </w:r>
      <w:r>
        <w:rPr>
          <w:rFonts w:eastAsia="方正仿宋_GBK"/>
          <w:sz w:val="32"/>
          <w:szCs w:val="32"/>
        </w:rPr>
        <w:t>20</w:t>
      </w:r>
      <w:r>
        <w:rPr>
          <w:rFonts w:hint="eastAsia" w:eastAsia="方正仿宋_GBK"/>
          <w:sz w:val="32"/>
          <w:szCs w:val="32"/>
        </w:rPr>
        <w:t>分钟后，再用长竹杆（</w:t>
      </w:r>
      <w:r>
        <w:rPr>
          <w:rFonts w:eastAsia="方正仿宋_GBK"/>
          <w:sz w:val="32"/>
          <w:szCs w:val="32"/>
        </w:rPr>
        <w:t>8</w:t>
      </w:r>
      <w:r>
        <w:rPr>
          <w:rFonts w:hint="eastAsia" w:eastAsia="方正仿宋_GBK"/>
          <w:sz w:val="32"/>
          <w:szCs w:val="32"/>
        </w:rPr>
        <w:t>米</w:t>
      </w:r>
      <w:r>
        <w:rPr>
          <w:rFonts w:eastAsia="方正仿宋_GBK"/>
          <w:sz w:val="32"/>
          <w:szCs w:val="32"/>
        </w:rPr>
        <w:t>)</w:t>
      </w:r>
      <w:r>
        <w:rPr>
          <w:rFonts w:hint="eastAsia" w:eastAsia="方正仿宋_GBK"/>
          <w:sz w:val="32"/>
          <w:szCs w:val="32"/>
        </w:rPr>
        <w:t>搅散化粪池中内杂物结块层，禁止在池边点火或吸烟，防止沼气燃烧，引发火灾或安全事故。</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eastAsia="方正仿宋_GBK"/>
          <w:sz w:val="32"/>
          <w:szCs w:val="32"/>
        </w:rPr>
      </w:pPr>
      <w:r>
        <w:rPr>
          <w:rFonts w:hint="eastAsia" w:eastAsia="方正仿宋_GBK"/>
          <w:sz w:val="32"/>
          <w:szCs w:val="32"/>
        </w:rPr>
        <w:t>（二）清掏车采用机械化作业，分三个环节，一是固液分离，二是药物分析，三是粪便分类。</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eastAsia="方正仿宋_GBK"/>
          <w:sz w:val="32"/>
          <w:szCs w:val="32"/>
        </w:rPr>
      </w:pPr>
      <w:r>
        <w:rPr>
          <w:rFonts w:hint="eastAsia" w:eastAsia="方正仿宋_GBK"/>
          <w:sz w:val="32"/>
          <w:szCs w:val="32"/>
        </w:rPr>
        <w:t>（三）启动吸粪车时，垫上防渗布防止弄脏地面，将粪便打包运输至粪便处理场。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eastAsia="方正仿宋_GBK"/>
          <w:sz w:val="32"/>
          <w:szCs w:val="32"/>
        </w:rPr>
      </w:pPr>
      <w:r>
        <w:rPr>
          <w:rFonts w:hint="eastAsia" w:eastAsia="方正仿宋_GBK"/>
          <w:sz w:val="32"/>
          <w:szCs w:val="32"/>
        </w:rPr>
        <w:t>（四）清理后目视井内无积物浮于上面，确保出入口畅通，污水不溢出地面，盖好化粪池井盖，用清水冲洗工作现场和所有工具。</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eastAsia="方正仿宋_GBK"/>
          <w:sz w:val="32"/>
          <w:szCs w:val="32"/>
        </w:rPr>
      </w:pPr>
      <w:r>
        <w:rPr>
          <w:rFonts w:hint="eastAsia" w:eastAsia="方正仿宋_GBK"/>
          <w:sz w:val="32"/>
          <w:szCs w:val="32"/>
        </w:rPr>
        <w:t>（五）化粪池池底炭渣及泥沙每年清理一次。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eastAsia="方正仿宋_GBK"/>
          <w:sz w:val="32"/>
          <w:szCs w:val="32"/>
        </w:rPr>
      </w:pPr>
      <w:r>
        <w:rPr>
          <w:rFonts w:hint="eastAsia" w:eastAsia="方正仿宋_GBK"/>
          <w:sz w:val="32"/>
          <w:szCs w:val="32"/>
        </w:rPr>
        <w:t>（六）工作人员严禁下池工作，防止人员中毒或陷入水中。</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eastAsia="方正仿宋_GBK"/>
          <w:sz w:val="32"/>
          <w:szCs w:val="32"/>
        </w:rPr>
      </w:pPr>
      <w:r>
        <w:rPr>
          <w:rFonts w:hint="eastAsia" w:eastAsia="方正仿宋_GBK"/>
          <w:sz w:val="32"/>
          <w:szCs w:val="32"/>
        </w:rPr>
        <w:t>（七）化粪池井盖打开后工作员不能离开现场，清洁完毕后，随手盖好井盖，以防行人掉入井内发生意外。</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黑体_GBK" w:eastAsia="方正黑体_GBK"/>
          <w:sz w:val="32"/>
          <w:szCs w:val="32"/>
        </w:rPr>
      </w:pPr>
      <w:r>
        <w:rPr>
          <w:rFonts w:hint="eastAsia" w:ascii="方正黑体_GBK" w:eastAsia="方正黑体_GBK"/>
          <w:sz w:val="32"/>
          <w:szCs w:val="32"/>
        </w:rPr>
        <w:t>二、化粪池清掏作业规范</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仿宋_GBK" w:eastAsia="方正仿宋_GBK"/>
          <w:sz w:val="32"/>
          <w:szCs w:val="32"/>
        </w:rPr>
      </w:pPr>
      <w:r>
        <w:rPr>
          <w:rFonts w:hint="eastAsia" w:eastAsia="方正仿宋_GBK"/>
          <w:sz w:val="32"/>
          <w:szCs w:val="32"/>
        </w:rPr>
        <w:t>（一）</w:t>
      </w:r>
      <w:r>
        <w:rPr>
          <w:rFonts w:hint="eastAsia" w:ascii="方正仿宋_GBK" w:eastAsia="方正仿宋_GBK"/>
          <w:sz w:val="32"/>
          <w:szCs w:val="32"/>
        </w:rPr>
        <w:t>单位或个人必须按照化粪池清掏作业程序进行清掏，清掏完工后应做到“三通二无一净”。即进、出水口及排水管道通畅，无块状粪渣、无沉积物，清掏作业场地干净，对现场进行消毒。</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eastAsia="方正仿宋_GBK"/>
          <w:sz w:val="32"/>
          <w:szCs w:val="32"/>
        </w:rPr>
      </w:pPr>
      <w:r>
        <w:rPr>
          <w:rFonts w:hint="eastAsia" w:eastAsia="方正仿宋_GBK"/>
          <w:sz w:val="32"/>
          <w:szCs w:val="32"/>
        </w:rPr>
        <w:t>（二）车辆运输装载应密闭完好，运输过程中应无滴漏、洒落，车走后场地应清理干净。装载应适量，无外溢；装载的粪便，应及时卸清，不得将粪便长时间存留在车容器内。运输作业结束后，应及时清洗车辆和辅助设施，不得留有粪迹污物。</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eastAsia="方正仿宋_GBK"/>
          <w:sz w:val="32"/>
          <w:szCs w:val="32"/>
        </w:rPr>
      </w:pPr>
      <w:r>
        <w:rPr>
          <w:rFonts w:hint="eastAsia" w:eastAsia="方正仿宋_GBK"/>
          <w:sz w:val="32"/>
          <w:szCs w:val="32"/>
        </w:rPr>
        <w:t>（三）清掏运出的粪水经过滤处理后，达到《污水排入城市下水道水质标准》，方可进入市政市污水管网；粪渣经干湿分离处理后，必须运到专业处理场（污粪便处理厂）处理，严禁乱排、乱倒，一经发现将按照有关规定进行处罚，并追究相关人员责任。</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黑体_GBK" w:eastAsia="方正黑体_GBK"/>
          <w:sz w:val="32"/>
          <w:szCs w:val="32"/>
        </w:rPr>
      </w:pPr>
      <w:r>
        <w:rPr>
          <w:rFonts w:hint="eastAsia" w:ascii="方正黑体_GBK" w:eastAsia="方正黑体_GBK"/>
          <w:sz w:val="32"/>
          <w:szCs w:val="32"/>
        </w:rPr>
        <w:t>三、化粪池清掏注意事项</w:t>
      </w:r>
      <w:r>
        <w:rPr>
          <w:rFonts w:ascii="方正黑体_GBK" w:eastAsia="方正黑体_GBK"/>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eastAsia="方正仿宋_GBK"/>
          <w:sz w:val="32"/>
          <w:szCs w:val="32"/>
        </w:rPr>
      </w:pPr>
      <w:r>
        <w:rPr>
          <w:rFonts w:hint="eastAsia" w:eastAsia="方正仿宋_GBK"/>
          <w:sz w:val="32"/>
          <w:szCs w:val="32"/>
        </w:rPr>
        <w:t>（一）作业前工作准备及注意事项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eastAsia="方正仿宋_GBK"/>
          <w:sz w:val="32"/>
          <w:szCs w:val="32"/>
        </w:rPr>
      </w:pPr>
      <w:r>
        <w:rPr>
          <w:rFonts w:hint="eastAsia" w:eastAsia="方正仿宋_GBK"/>
          <w:sz w:val="32"/>
          <w:szCs w:val="32"/>
        </w:rPr>
        <w:t>制订合理的工作安排；检查安全防护工具，相关设备、车辆工作能力，水电供应是否可靠；将准备施工的化粪池提前打开，并要求通风二十分钟以上方可下一步作业，并且在作业区域内设置警戒线和警示标志，坚决杜绝无关人员进入现场参观。防止危险源产生；严禁吸烟、严禁明火。</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eastAsia="方正仿宋_GBK"/>
          <w:sz w:val="32"/>
          <w:szCs w:val="32"/>
        </w:rPr>
      </w:pPr>
      <w:r>
        <w:rPr>
          <w:rFonts w:hint="eastAsia" w:eastAsia="方正仿宋_GBK"/>
          <w:sz w:val="32"/>
          <w:szCs w:val="32"/>
        </w:rPr>
        <w:t>（二）清掏人员准备注意事项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eastAsia="方正仿宋_GBK"/>
          <w:sz w:val="32"/>
          <w:szCs w:val="32"/>
        </w:rPr>
      </w:pPr>
      <w:r>
        <w:rPr>
          <w:rFonts w:hint="eastAsia" w:eastAsia="方正仿宋_GBK"/>
          <w:sz w:val="32"/>
          <w:szCs w:val="32"/>
        </w:rPr>
        <w:t>作业人员必须经专业培训并持证上岗；事先组织工作人员进入工作区域，熟悉工作现场，划分作业区域，周围设置安全警示牌和安全警戒线。作业人员作业前须进行入场登记，并落实所有安全技术措施和人身防护用品后才准进入作业区域（主要包括是否戴安全帽、防毒面具，是否穿工作服、手套、配带施工证等），未经许可不得进行施工。作业人员必须时刻提高警惕，时刻集中精力，作业中禁止吸烟及明火，以免发生爆炸等安全事故。</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eastAsia="方正仿宋_GBK"/>
          <w:sz w:val="32"/>
          <w:szCs w:val="32"/>
        </w:rPr>
      </w:pPr>
      <w:r>
        <w:rPr>
          <w:rFonts w:hint="eastAsia" w:eastAsia="方正仿宋_GBK"/>
          <w:sz w:val="32"/>
          <w:szCs w:val="32"/>
        </w:rPr>
        <w:t>（三）发生险情时注意事项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eastAsia="方正仿宋_GBK"/>
          <w:sz w:val="32"/>
          <w:szCs w:val="32"/>
        </w:rPr>
      </w:pPr>
      <w:r>
        <w:rPr>
          <w:rFonts w:hint="eastAsia" w:eastAsia="方正仿宋_GBK"/>
          <w:sz w:val="32"/>
          <w:szCs w:val="32"/>
        </w:rPr>
        <w:t>工作人员中途遇到不适应立即停止工作，并撤离现场及时求救；自身无充分保护措施、未经专业训练，严禁盲目施救，必须等待外援；等待时，尽可能让化粪池通风，撤离受伤人员；保证救援设备正常使用；保证事故场所周围空间良好的人工通风；保证组织专业的医疗救护；隔离此区域，严防“二次伤害”，直到找出事故原因并排除安全隐患。</w:t>
      </w:r>
    </w:p>
    <w:p>
      <w:pPr>
        <w:keepNext w:val="0"/>
        <w:keepLines w:val="0"/>
        <w:pageBreakBefore w:val="0"/>
        <w:widowControl w:val="0"/>
        <w:kinsoku/>
        <w:wordWrap/>
        <w:overflowPunct/>
        <w:topLinePunct w:val="0"/>
        <w:autoSpaceDE/>
        <w:autoSpaceDN/>
        <w:bidi w:val="0"/>
        <w:adjustRightInd/>
        <w:spacing w:line="600" w:lineRule="exact"/>
        <w:jc w:val="both"/>
        <w:textAlignment w:val="auto"/>
        <w:rPr>
          <w:szCs w:val="32"/>
        </w:rPr>
      </w:pPr>
    </w:p>
    <w:sectPr>
      <w:headerReference r:id="rId5" w:type="default"/>
      <w:footerReference r:id="rId6" w:type="default"/>
      <w:pgSz w:w="11906" w:h="16838"/>
      <w:pgMar w:top="1962" w:right="1474" w:bottom="1848" w:left="1588"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4160" w:firstLineChars="1300"/>
      <w:rPr>
        <w:rFonts w:hint="default" w:eastAsia="宋体"/>
        <w:lang w:val="en-US" w:eastAsia="zh-CN"/>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1905</wp:posOffset>
              </wp:positionH>
              <wp:positionV relativeFrom="paragraph">
                <wp:posOffset>-82550</wp:posOffset>
              </wp:positionV>
              <wp:extent cx="5616575" cy="1905"/>
              <wp:effectExtent l="0" t="10795" r="3175" b="15875"/>
              <wp:wrapNone/>
              <wp:docPr id="3"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直接连接符 5" o:spid="_x0000_s1026" o:spt="20" style="position:absolute;left:0pt;margin-left:0.15pt;margin-top:-6.5pt;height:0.15pt;width:442.25pt;z-index:251662336;mso-width-relative:page;mso-height-relative:page;" filled="f" stroked="t" coordsize="21600,21600" o:gfxdata="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6/ReGdUAAAAIAQAADwAAAAAAAAABACAAAAAiAAAAZHJzL2Rvd25yZXYueG1sUEsBAhQAFAAAAAgA&#10;h07iQDSBuN7vAQAAwwMAAA4AAAAAAAAAAQAgAAAAJAEAAGRycy9lMm9Eb2MueG1sUEsFBgAAAAAG&#10;AAYAWQEAAIUFAAAAAA==&#10;">
              <v:fill on="f" focussize="0,0"/>
              <v:stroke weight="1.75pt" color="#005192" miterlimit="8" joinstyle="miter"/>
              <v:imagedata o:title=""/>
              <o:lock v:ext="edit" aspectratio="f"/>
            </v:line>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0</wp:posOffset>
              </wp:positionV>
              <wp:extent cx="1828800" cy="1828800"/>
              <wp:effectExtent l="0" t="0" r="0" b="0"/>
              <wp:wrapNone/>
              <wp:docPr id="7"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r>
                            <w:t xml:space="preserve">— </w:t>
                          </w:r>
                          <w:r>
                            <w:fldChar w:fldCharType="begin"/>
                          </w:r>
                          <w:r>
                            <w:instrText xml:space="preserve"> PAGE  \* MERGEFORMAT </w:instrText>
                          </w:r>
                          <w:r>
                            <w:fldChar w:fldCharType="separate"/>
                          </w:r>
                          <w:r>
                            <w:t>- 1 -</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lef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yKfrb5wEAAMcD&#10;AAAOAAAAAAAAAAEAIAAAAB4BAABkcnMvZTJvRG9jLnhtbFBLBQYAAAAABgAGAFkBAAB3BQAAAAA=&#10;">
              <v:fill on="f" focussize="0,0"/>
              <v:stroke on="f"/>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r>
      <w:rPr>
        <w:rFonts w:hint="eastAsia" w:ascii="宋体" w:hAnsi="宋体" w:eastAsia="宋体" w:cs="宋体"/>
        <w:b/>
        <w:bCs/>
        <w:color w:val="005192"/>
        <w:sz w:val="28"/>
        <w:szCs w:val="44"/>
      </w:rPr>
      <w:t>重庆市永川区人民政府办公室发布</w:t>
    </w:r>
    <w:r>
      <w:rPr>
        <w:rFonts w:hint="eastAsia" w:ascii="宋体" w:hAnsi="宋体" w:cs="宋体"/>
        <w:b/>
        <w:bCs/>
        <w:color w:val="005192"/>
        <w:sz w:val="28"/>
        <w:szCs w:val="44"/>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0</wp:posOffset>
              </wp:positionV>
              <wp:extent cx="1828800" cy="1828800"/>
              <wp:effectExtent l="0" t="0" r="0" b="0"/>
              <wp:wrapNone/>
              <wp:docPr id="8"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r>
                            <w:t xml:space="preserve">— </w:t>
                          </w:r>
                          <w:r>
                            <w:fldChar w:fldCharType="begin"/>
                          </w:r>
                          <w:r>
                            <w:instrText xml:space="preserve"> PAGE  \* MERGEFORMAT </w:instrText>
                          </w:r>
                          <w:r>
                            <w:fldChar w:fldCharType="separate"/>
                          </w:r>
                          <w:r>
                            <w:t>23</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0pt;height:144pt;width:144pt;mso-position-horizontal:lef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BjxZFu5wEAAMgD&#10;AAAOAAAAAAAAAAEAIAAAAB4BAABkcnMvZTJvRG9jLnhtbFBLBQYAAAAABgAGAFkBAAB3BQAAAAA=&#10;">
              <v:fill on="f" focussize="0,0"/>
              <v:stroke on="f"/>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23</w:t>
                    </w:r>
                    <w:r>
                      <w:fldChar w:fldCharType="end"/>
                    </w:r>
                    <w:r>
                      <w:t xml:space="preserve"> —</w:t>
                    </w:r>
                  </w:p>
                </w:txbxContent>
              </v:textbox>
            </v:shape>
          </w:pict>
        </mc:Fallback>
      </mc:AlternateContent>
    </w:r>
  </w:p>
  <w:p>
    <w:pPr>
      <w:pStyle w:val="6"/>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179070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2.25pt;margin-top:14.1pt;height:0.15pt;width:442.25pt;z-index:251660288;mso-width-relative:page;mso-height-relative:page;" filled="f" stroked="t" coordsize="21600,21600" o:gfxdata="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pG9dtUAAAAIAQAADwAAAAAAAAABACAAAAAiAAAAZHJzL2Rvd25yZXYueG1sUEsBAhQAFAAAAAgA&#10;h07iQAeoJC/vAQAAwwMAAA4AAAAAAAAAAQAgAAAAJAEAAGRycy9lMm9Eb2MueG1sUEsFBgAAAAAG&#10;AAYAWQEAAIUFA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28"/>
        <w:szCs w:val="44"/>
      </w:rPr>
      <w:t>重重庆市永川区人民政府办公室发布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p>
    <w:pPr>
      <w:pStyle w:val="6"/>
    </w:pP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重庆市永川区人民政府行政</w:t>
    </w:r>
    <w:r>
      <w:rPr>
        <w:rFonts w:hint="eastAsia" w:ascii="宋体" w:hAnsi="宋体" w:eastAsia="宋体" w:cs="宋体"/>
        <w:b/>
        <w:bCs/>
        <w:color w:val="005192"/>
        <w:sz w:val="32"/>
        <w:szCs w:val="32"/>
      </w:rPr>
      <w:t>规范性文件</w:t>
    </w:r>
  </w:p>
  <w:p>
    <w:pPr>
      <w:pStyle w:val="6"/>
    </w:pPr>
    <w:r>
      <w:rPr>
        <w:rFonts w:ascii="方正仿宋_GBK" w:hAnsi="方正仿宋_GBK" w:eastAsia="方正仿宋_GBK" w:cs="方正仿宋_GBK"/>
        <w:b/>
        <w:bCs/>
        <w:color w:val="000000" w:themeColor="text1"/>
        <w:sz w:val="32"/>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73660</wp:posOffset>
              </wp:positionV>
              <wp:extent cx="5620385" cy="0"/>
              <wp:effectExtent l="0" t="10795" r="18415" b="17780"/>
              <wp:wrapNone/>
              <wp:docPr id="2"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直接连接符 4" o:spid="_x0000_s1026" o:spt="20" style="position:absolute;left:0pt;margin-left:1.5pt;margin-top:5.8pt;height:0pt;width:442.55pt;z-index:251661312;mso-width-relative:page;mso-height-relative:page;" filled="f" stroked="t" coordsize="21600,21600" o:gfxdata="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UVik9MAAAAHAQAADwAAAAAAAAABACAAAAAiAAAAZHJzL2Rvd25yZXYueG1sUEsBAhQA&#10;FAAAAAgAh07iQKGlXP33AQAAywMAAA4AAAAAAAAAAQAgAAAAIgEAAGRycy9lMm9Eb2MueG1sUEsF&#10;BgAAAAAGAAYAWQEAAIsFAAAAAA==&#10;">
              <v:fill on="f" focussize="0,0"/>
              <v:stroke weight="1.75pt" color="#005192"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FTKBbUAAAACQEAAA8AAAAAAAAAAQAgAAAAIgAAAGRycy9kb3ducmV2LnhtbFBLAQIU&#10;ABQAAAAIAIdO4kClIsuz9wEAAMsDAAAOAAAAAAAAAAEAIAAAACMBAABkcnMvZTJvRG9jLnhtbFBL&#10;BQYAAAAABgAGAFkBAACMBQAAAAA=&#10;">
              <v:fill on="f" focussize="0,0"/>
              <v:stroke weight="1.75pt" color="#005192"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重庆市永川区人民政府行政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MmQyMmNkMzk1MjZmNTBjNTYxMWJmZjlmMjg5ZTUifQ=="/>
  </w:docVars>
  <w:rsids>
    <w:rsidRoot w:val="00172A27"/>
    <w:rsid w:val="0009075B"/>
    <w:rsid w:val="00172A27"/>
    <w:rsid w:val="002E15B4"/>
    <w:rsid w:val="003220D7"/>
    <w:rsid w:val="00343634"/>
    <w:rsid w:val="004B21E2"/>
    <w:rsid w:val="004F332D"/>
    <w:rsid w:val="005767A7"/>
    <w:rsid w:val="006A5BB1"/>
    <w:rsid w:val="008535AA"/>
    <w:rsid w:val="00A6399F"/>
    <w:rsid w:val="00B64CAE"/>
    <w:rsid w:val="00C669E4"/>
    <w:rsid w:val="00C7429B"/>
    <w:rsid w:val="00C75245"/>
    <w:rsid w:val="00D140E3"/>
    <w:rsid w:val="00D60F5A"/>
    <w:rsid w:val="00F077EF"/>
    <w:rsid w:val="00F81E77"/>
    <w:rsid w:val="019E71BD"/>
    <w:rsid w:val="041C42DA"/>
    <w:rsid w:val="04B679C3"/>
    <w:rsid w:val="05F07036"/>
    <w:rsid w:val="06E00104"/>
    <w:rsid w:val="080F63D8"/>
    <w:rsid w:val="09341458"/>
    <w:rsid w:val="098254C2"/>
    <w:rsid w:val="0A766EDE"/>
    <w:rsid w:val="0AD64BE8"/>
    <w:rsid w:val="0B0912D7"/>
    <w:rsid w:val="0E025194"/>
    <w:rsid w:val="0E4312DC"/>
    <w:rsid w:val="13741F37"/>
    <w:rsid w:val="152D2DCA"/>
    <w:rsid w:val="1740460A"/>
    <w:rsid w:val="187168EA"/>
    <w:rsid w:val="196673CA"/>
    <w:rsid w:val="1AA749A0"/>
    <w:rsid w:val="1B2F4AEE"/>
    <w:rsid w:val="1CF734C9"/>
    <w:rsid w:val="1DEC284C"/>
    <w:rsid w:val="1E6523AC"/>
    <w:rsid w:val="22440422"/>
    <w:rsid w:val="22BB4BBB"/>
    <w:rsid w:val="25FC0296"/>
    <w:rsid w:val="2AEB3417"/>
    <w:rsid w:val="2D586568"/>
    <w:rsid w:val="313A6116"/>
    <w:rsid w:val="31796C3F"/>
    <w:rsid w:val="31A15F24"/>
    <w:rsid w:val="324A1681"/>
    <w:rsid w:val="32BB5035"/>
    <w:rsid w:val="36FB1DF0"/>
    <w:rsid w:val="395347B5"/>
    <w:rsid w:val="39A232A0"/>
    <w:rsid w:val="39E745AA"/>
    <w:rsid w:val="3B5A6BBB"/>
    <w:rsid w:val="3EDA13A6"/>
    <w:rsid w:val="3F0C10F2"/>
    <w:rsid w:val="417B75E9"/>
    <w:rsid w:val="42F058B7"/>
    <w:rsid w:val="436109F6"/>
    <w:rsid w:val="441A38D4"/>
    <w:rsid w:val="4504239D"/>
    <w:rsid w:val="46D508C9"/>
    <w:rsid w:val="4BC77339"/>
    <w:rsid w:val="4C9236C5"/>
    <w:rsid w:val="4E250A85"/>
    <w:rsid w:val="4FED287A"/>
    <w:rsid w:val="4FFD4925"/>
    <w:rsid w:val="505C172E"/>
    <w:rsid w:val="506405EA"/>
    <w:rsid w:val="52F46F0B"/>
    <w:rsid w:val="532B6A10"/>
    <w:rsid w:val="53D8014D"/>
    <w:rsid w:val="558E1955"/>
    <w:rsid w:val="55E064E0"/>
    <w:rsid w:val="572C6D10"/>
    <w:rsid w:val="59137D86"/>
    <w:rsid w:val="5DC34279"/>
    <w:rsid w:val="5E4730AE"/>
    <w:rsid w:val="5F2C3D55"/>
    <w:rsid w:val="5FCD688E"/>
    <w:rsid w:val="5FF9BDAA"/>
    <w:rsid w:val="60771E36"/>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批注框文本 Char"/>
    <w:basedOn w:val="9"/>
    <w:link w:val="4"/>
    <w:qFormat/>
    <w:uiPriority w:val="0"/>
    <w:rPr>
      <w:rFonts w:asciiTheme="minorHAnsi" w:hAnsiTheme="minorHAnsi" w:eastAsiaTheme="minorEastAsia" w:cstheme="minorBidi"/>
      <w:kern w:val="2"/>
      <w:sz w:val="18"/>
      <w:szCs w:val="18"/>
    </w:rPr>
  </w:style>
  <w:style w:type="character" w:customStyle="1" w:styleId="13">
    <w:name w:val="font21"/>
    <w:basedOn w:val="9"/>
    <w:qFormat/>
    <w:uiPriority w:val="99"/>
    <w:rPr>
      <w:rFonts w:ascii="仿宋" w:hAnsi="仿宋" w:eastAsia="仿宋" w:cs="仿宋"/>
      <w:color w:val="000000"/>
      <w:sz w:val="22"/>
      <w:szCs w:val="22"/>
      <w:u w:val="none"/>
    </w:rPr>
  </w:style>
  <w:style w:type="character" w:customStyle="1" w:styleId="14">
    <w:name w:val="font11"/>
    <w:basedOn w:val="9"/>
    <w:qFormat/>
    <w:uiPriority w:val="99"/>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9730</Words>
  <Characters>9790</Characters>
  <Lines>1</Lines>
  <Paragraphs>1</Paragraphs>
  <TotalTime>9</TotalTime>
  <ScaleCrop>false</ScaleCrop>
  <LinksUpToDate>false</LinksUpToDate>
  <CharactersWithSpaces>10098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Administrator</cp:lastModifiedBy>
  <cp:lastPrinted>2022-06-08T07:18:00Z</cp:lastPrinted>
  <dcterms:modified xsi:type="dcterms:W3CDTF">2022-06-09T09:34:17Z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E19EB04AF36A4B47AA2811BAF72612D3</vt:lpwstr>
  </property>
</Properties>
</file>