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textAlignment w:val="auto"/>
        <w:rPr>
          <w:rFonts w:hint="eastAsia" w:ascii="方正仿宋_GBK" w:hAnsi="方正仿宋_GBK" w:eastAsia="方正仿宋_GBK" w:cs="方正仿宋_GBK"/>
        </w:rPr>
      </w:pPr>
    </w:p>
    <w:p>
      <w:pPr>
        <w:spacing w:line="594" w:lineRule="exact"/>
        <w:jc w:val="both"/>
        <w:rPr>
          <w:rFonts w:eastAsia="方正小标宋_GBK" w:cs="方正仿宋_GBK"/>
          <w:sz w:val="44"/>
          <w:szCs w:val="44"/>
        </w:rPr>
      </w:pPr>
    </w:p>
    <w:p>
      <w:pPr>
        <w:spacing w:line="594" w:lineRule="exact"/>
        <w:jc w:val="center"/>
        <w:rPr>
          <w:rFonts w:hint="eastAsia" w:eastAsia="方正小标宋_GBK" w:cs="方正仿宋_GBK"/>
          <w:sz w:val="44"/>
          <w:szCs w:val="44"/>
        </w:rPr>
      </w:pPr>
      <w:r>
        <w:rPr>
          <w:rFonts w:hint="eastAsia" w:eastAsia="方正小标宋_GBK" w:cs="方正仿宋_GBK"/>
          <w:sz w:val="44"/>
          <w:szCs w:val="44"/>
        </w:rPr>
        <w:t>重庆市永川区人民政府办公室关于</w:t>
      </w:r>
    </w:p>
    <w:p>
      <w:pPr>
        <w:spacing w:line="594" w:lineRule="exact"/>
        <w:jc w:val="center"/>
        <w:rPr>
          <w:rFonts w:hint="eastAsia" w:eastAsia="方正小标宋_GBK" w:cs="方正仿宋_GBK"/>
          <w:sz w:val="44"/>
          <w:szCs w:val="44"/>
        </w:rPr>
      </w:pPr>
      <w:r>
        <w:rPr>
          <w:rFonts w:hint="eastAsia" w:eastAsia="方正小标宋_GBK" w:cs="方正仿宋_GBK"/>
          <w:sz w:val="44"/>
          <w:szCs w:val="44"/>
        </w:rPr>
        <w:t>印发</w:t>
      </w:r>
      <w:bookmarkStart w:id="0" w:name="_Hlk117096641"/>
      <w:r>
        <w:rPr>
          <w:rFonts w:hint="eastAsia" w:eastAsia="方正小标宋_GBK" w:cs="方正仿宋_GBK"/>
          <w:sz w:val="44"/>
          <w:szCs w:val="44"/>
        </w:rPr>
        <w:t>永川区绿色低碳发展行动实施方案</w:t>
      </w:r>
      <w:bookmarkEnd w:id="0"/>
      <w:r>
        <w:rPr>
          <w:rFonts w:hint="eastAsia" w:eastAsia="方正小标宋_GBK" w:cs="方正仿宋_GBK"/>
          <w:sz w:val="44"/>
          <w:szCs w:val="44"/>
        </w:rPr>
        <w:t>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eastAsia" w:ascii="方正仿宋_GBK" w:hAnsi="方正仿宋_GBK" w:eastAsia="方正仿宋_GBK" w:cs="方正仿宋_GBK"/>
        </w:rPr>
      </w:pPr>
      <w:r>
        <w:rPr>
          <w:rFonts w:hint="default" w:ascii="Times New Roman" w:hAnsi="Times New Roman" w:cs="Times New Roman"/>
        </w:rPr>
        <w:t>永川府办发〔2022〕112号</w:t>
      </w:r>
    </w:p>
    <w:p>
      <w:pPr>
        <w:spacing w:line="594" w:lineRule="exact"/>
        <w:rPr>
          <w:rFonts w:cs="方正仿宋_GBK"/>
          <w:szCs w:val="32"/>
        </w:rPr>
      </w:pPr>
    </w:p>
    <w:p>
      <w:pPr>
        <w:spacing w:line="594" w:lineRule="exact"/>
        <w:rPr>
          <w:szCs w:val="32"/>
        </w:rPr>
      </w:pPr>
      <w:r>
        <w:rPr>
          <w:rFonts w:hint="eastAsia"/>
          <w:szCs w:val="32"/>
        </w:rPr>
        <w:t>各镇人民政府、街道办事处，区政府有关部门，有关单位：</w:t>
      </w:r>
    </w:p>
    <w:p>
      <w:pPr>
        <w:spacing w:line="594" w:lineRule="exact"/>
        <w:ind w:firstLine="640" w:firstLineChars="200"/>
        <w:rPr>
          <w:szCs w:val="32"/>
        </w:rPr>
      </w:pPr>
      <w:r>
        <w:rPr>
          <w:rFonts w:hint="eastAsia"/>
          <w:szCs w:val="32"/>
        </w:rPr>
        <w:t>《永川区绿色低碳发展行动实施方案》已经区政府同意，现印发给你们，请结合实际认真贯彻落实。</w:t>
      </w:r>
    </w:p>
    <w:p>
      <w:pPr>
        <w:spacing w:line="594" w:lineRule="exact"/>
        <w:ind w:firstLine="640" w:firstLineChars="200"/>
        <w:rPr>
          <w:szCs w:val="32"/>
        </w:rPr>
      </w:pPr>
    </w:p>
    <w:p>
      <w:pPr>
        <w:spacing w:line="594" w:lineRule="exact"/>
        <w:ind w:firstLine="640" w:firstLineChars="200"/>
        <w:rPr>
          <w:rFonts w:hint="eastAsia"/>
          <w:szCs w:val="32"/>
        </w:rPr>
      </w:pPr>
    </w:p>
    <w:p>
      <w:pPr>
        <w:spacing w:line="594" w:lineRule="exact"/>
        <w:ind w:left="4675" w:leftChars="1461"/>
        <w:jc w:val="center"/>
        <w:rPr>
          <w:szCs w:val="32"/>
        </w:rPr>
      </w:pPr>
      <w:r>
        <w:rPr>
          <w:rFonts w:hint="eastAsia"/>
          <w:szCs w:val="32"/>
        </w:rPr>
        <w:t>重庆市永川区人民政府办公室</w:t>
      </w:r>
    </w:p>
    <w:p>
      <w:pPr>
        <w:spacing w:line="594" w:lineRule="exact"/>
        <w:ind w:left="4675" w:leftChars="1461"/>
        <w:jc w:val="center"/>
        <w:rPr>
          <w:rFonts w:hint="eastAsia"/>
          <w:szCs w:val="32"/>
        </w:rPr>
      </w:pPr>
      <w:r>
        <w:rPr>
          <w:rFonts w:hint="eastAsia"/>
          <w:szCs w:val="32"/>
        </w:rPr>
        <w:t>2</w:t>
      </w:r>
      <w:r>
        <w:rPr>
          <w:szCs w:val="32"/>
        </w:rPr>
        <w:t>022</w:t>
      </w:r>
      <w:r>
        <w:rPr>
          <w:rFonts w:hint="eastAsia"/>
          <w:szCs w:val="32"/>
        </w:rPr>
        <w:t>年1</w:t>
      </w:r>
      <w:r>
        <w:rPr>
          <w:rFonts w:hint="default"/>
          <w:szCs w:val="32"/>
          <w:lang w:val="en-US"/>
        </w:rPr>
        <w:t>2</w:t>
      </w:r>
      <w:r>
        <w:rPr>
          <w:rFonts w:hint="eastAsia"/>
          <w:szCs w:val="32"/>
        </w:rPr>
        <w:t>月</w:t>
      </w:r>
      <w:r>
        <w:rPr>
          <w:rFonts w:hint="default"/>
          <w:szCs w:val="32"/>
          <w:lang w:val="en-US"/>
        </w:rPr>
        <w:t>2</w:t>
      </w:r>
      <w:r>
        <w:rPr>
          <w:rFonts w:hint="eastAsia"/>
          <w:szCs w:val="32"/>
        </w:rPr>
        <w:t>日</w:t>
      </w:r>
    </w:p>
    <w:p>
      <w:pPr>
        <w:spacing w:line="594" w:lineRule="exact"/>
        <w:ind w:firstLine="640" w:firstLineChars="200"/>
        <w:rPr>
          <w:rFonts w:hint="eastAsia"/>
          <w:szCs w:val="32"/>
        </w:rPr>
      </w:pPr>
      <w:r>
        <w:rPr>
          <w:rFonts w:hint="eastAsia"/>
          <w:szCs w:val="32"/>
        </w:rPr>
        <w:t>（此件公开发布）</w:t>
      </w:r>
    </w:p>
    <w:p>
      <w:pPr>
        <w:spacing w:line="594" w:lineRule="exact"/>
        <w:jc w:val="center"/>
        <w:rPr>
          <w:rFonts w:hint="eastAsia" w:eastAsia="方正小标宋_GBK" w:cs="方正仿宋_GBK"/>
          <w:sz w:val="44"/>
          <w:szCs w:val="44"/>
        </w:rPr>
      </w:pPr>
      <w:r>
        <w:rPr>
          <w:rFonts w:cs="方正仿宋_GBK"/>
          <w:szCs w:val="32"/>
        </w:rPr>
        <w:br w:type="page"/>
      </w:r>
      <w:bookmarkStart w:id="1" w:name="_Hlk117096440"/>
      <w:r>
        <w:rPr>
          <w:rFonts w:hint="eastAsia" w:eastAsia="方正小标宋_GBK" w:cs="方正仿宋_GBK"/>
          <w:sz w:val="44"/>
          <w:szCs w:val="44"/>
        </w:rPr>
        <w:t>永川区绿色低碳发展行动实施方案</w:t>
      </w:r>
    </w:p>
    <w:p>
      <w:pPr>
        <w:spacing w:line="594" w:lineRule="exact"/>
        <w:ind w:firstLine="640" w:firstLineChars="200"/>
        <w:rPr>
          <w:rFonts w:cs="方正仿宋_GBK"/>
          <w:szCs w:val="32"/>
        </w:rPr>
      </w:pPr>
    </w:p>
    <w:p>
      <w:pPr>
        <w:spacing w:line="594" w:lineRule="exact"/>
        <w:ind w:firstLine="640" w:firstLineChars="200"/>
        <w:rPr>
          <w:rFonts w:eastAsia="方正黑体_GBK"/>
          <w:szCs w:val="32"/>
        </w:rPr>
      </w:pPr>
      <w:r>
        <w:rPr>
          <w:rFonts w:hint="eastAsia"/>
          <w:szCs w:val="32"/>
        </w:rPr>
        <w:t>为深入贯彻党中央决策部署，落实市第六次党代会、区第十五次党代会精神，围绕碳达峰碳中和目标，加快发展方式绿色转型，实施全面节约战略，发展绿色低碳产业，倡导绿色消费，推动形成绿色低碳的生产方式和生活方式，紧扣永川“2235”总体发展思路，制定本方案。</w:t>
      </w:r>
    </w:p>
    <w:bookmarkEnd w:id="1"/>
    <w:p>
      <w:pPr>
        <w:spacing w:line="594" w:lineRule="exact"/>
        <w:ind w:firstLine="640" w:firstLineChars="200"/>
        <w:rPr>
          <w:rFonts w:hint="eastAsia" w:eastAsia="方正黑体_GBK"/>
          <w:szCs w:val="32"/>
        </w:rPr>
      </w:pPr>
      <w:r>
        <w:rPr>
          <w:rFonts w:hint="eastAsia" w:eastAsia="方正黑体_GBK"/>
          <w:szCs w:val="32"/>
        </w:rPr>
        <w:t>一、总体要求</w:t>
      </w:r>
    </w:p>
    <w:p>
      <w:pPr>
        <w:spacing w:line="594" w:lineRule="exact"/>
        <w:ind w:firstLine="640" w:firstLineChars="200"/>
        <w:rPr>
          <w:rFonts w:hint="eastAsia" w:eastAsia="方正楷体_GBK"/>
          <w:szCs w:val="32"/>
          <w:lang w:val="zh-CN"/>
        </w:rPr>
      </w:pPr>
      <w:r>
        <w:rPr>
          <w:rFonts w:eastAsia="方正楷体_GBK"/>
          <w:szCs w:val="32"/>
          <w:lang w:val="zh-CN"/>
        </w:rPr>
        <w:t>（</w:t>
      </w:r>
      <w:r>
        <w:rPr>
          <w:rFonts w:hint="eastAsia" w:eastAsia="方正楷体_GBK"/>
          <w:szCs w:val="32"/>
          <w:lang w:val="zh-CN"/>
        </w:rPr>
        <w:t>一</w:t>
      </w:r>
      <w:r>
        <w:rPr>
          <w:rFonts w:eastAsia="方正楷体_GBK"/>
          <w:szCs w:val="32"/>
          <w:lang w:val="zh-CN"/>
        </w:rPr>
        <w:t>）</w:t>
      </w:r>
      <w:r>
        <w:rPr>
          <w:rFonts w:hint="eastAsia" w:eastAsia="方正楷体_GBK"/>
          <w:szCs w:val="32"/>
          <w:lang w:val="zh-CN"/>
        </w:rPr>
        <w:t>指导思想</w:t>
      </w:r>
    </w:p>
    <w:p>
      <w:pPr>
        <w:spacing w:line="594" w:lineRule="exact"/>
        <w:ind w:firstLine="640" w:firstLineChars="200"/>
        <w:rPr>
          <w:szCs w:val="32"/>
        </w:rPr>
      </w:pPr>
      <w:r>
        <w:rPr>
          <w:rFonts w:hint="eastAsia"/>
          <w:szCs w:val="32"/>
        </w:rPr>
        <w:t>以习近平新时代中国特色社会主义思想为指导，深入贯彻党的十九大和十九届历次全会精神，全面贯彻党的二十大精神，深学笃用习近平生态文明思想，完整、准确、全面贯彻新发展理念，坚持系统观念，处理好发展和减排、整体和局部、长远目标和短期目标、政府和市场的关系，统筹稳增长和调结构，坚定不移走生态优先、绿色低碳的高质量发展道路，着力优化产业结构、能源结构、交通运输结构、用地结构，深入落实永川“2235”总体发展思路，奋力谱写永川高质量发展、高品质生活新篇章。</w:t>
      </w:r>
    </w:p>
    <w:p>
      <w:pPr>
        <w:spacing w:line="594" w:lineRule="exact"/>
        <w:ind w:firstLine="640" w:firstLineChars="200"/>
        <w:rPr>
          <w:rFonts w:hint="eastAsia" w:eastAsia="方正楷体_GBK"/>
          <w:szCs w:val="32"/>
          <w:lang w:val="zh-CN"/>
        </w:rPr>
      </w:pPr>
      <w:r>
        <w:rPr>
          <w:rFonts w:eastAsia="方正楷体_GBK"/>
          <w:szCs w:val="32"/>
          <w:lang w:val="zh-CN"/>
        </w:rPr>
        <w:t>（</w:t>
      </w:r>
      <w:r>
        <w:rPr>
          <w:rFonts w:hint="eastAsia" w:eastAsia="方正楷体_GBK"/>
          <w:szCs w:val="32"/>
          <w:lang w:val="zh-CN"/>
        </w:rPr>
        <w:t>二</w:t>
      </w:r>
      <w:r>
        <w:rPr>
          <w:rFonts w:eastAsia="方正楷体_GBK"/>
          <w:szCs w:val="32"/>
          <w:lang w:val="zh-CN"/>
        </w:rPr>
        <w:t>）</w:t>
      </w:r>
      <w:r>
        <w:rPr>
          <w:rFonts w:hint="eastAsia" w:eastAsia="方正楷体_GBK"/>
          <w:szCs w:val="32"/>
          <w:lang w:val="zh-CN"/>
        </w:rPr>
        <w:t>主要目标</w:t>
      </w:r>
    </w:p>
    <w:p>
      <w:pPr>
        <w:spacing w:line="594" w:lineRule="exact"/>
        <w:ind w:firstLine="640" w:firstLineChars="200"/>
        <w:rPr>
          <w:szCs w:val="32"/>
        </w:rPr>
      </w:pPr>
      <w:r>
        <w:rPr>
          <w:rFonts w:hint="eastAsia"/>
          <w:szCs w:val="32"/>
        </w:rPr>
        <w:t>到2025年，全区经济社会发展绿色转型取得积极成效，生态环境质量持续改善，生态系统质量和稳定性不断提升，单位地区生产总值能源消费比2020年下降14.5%，非化石能源消费比重和单位地区生产总值二氧化碳排放下降率完成上级下达目标；大陆溪湾凼国控断面水质达到或优于IV类，临江河、小安溪、九龙河市控断面水质稳定达到或优于Ⅲ类，城市集中式饮用水水源水质达标率达到100%；空气质量优良天数比例达到91.5%，细颗粒物年均浓度控制在30.3微克/立方米以内；受污染耕地、重点建设用地安全得到有效保障，固体废物、危险废物治理能力明显增强，生态保护红线、自然保护地得到有效监管。</w:t>
      </w:r>
    </w:p>
    <w:p>
      <w:pPr>
        <w:spacing w:line="594" w:lineRule="exact"/>
        <w:ind w:firstLine="640" w:firstLineChars="200"/>
        <w:rPr>
          <w:rFonts w:hint="eastAsia" w:eastAsia="方正黑体_GBK"/>
          <w:szCs w:val="32"/>
        </w:rPr>
      </w:pPr>
      <w:bookmarkStart w:id="2" w:name="_Hlk114164402"/>
      <w:bookmarkStart w:id="3" w:name="_Hlk114220970"/>
      <w:r>
        <w:rPr>
          <w:rFonts w:hint="eastAsia" w:eastAsia="方正黑体_GBK"/>
          <w:szCs w:val="32"/>
        </w:rPr>
        <w:t>二、以碳达峰碳中和引领绿色发展</w:t>
      </w:r>
    </w:p>
    <w:bookmarkEnd w:id="2"/>
    <w:p>
      <w:pPr>
        <w:spacing w:line="594" w:lineRule="exact"/>
        <w:ind w:firstLine="640" w:firstLineChars="200"/>
        <w:rPr>
          <w:rFonts w:eastAsia="方正楷体_GBK"/>
          <w:szCs w:val="32"/>
          <w:lang w:val="zh-CN"/>
        </w:rPr>
      </w:pPr>
      <w:r>
        <w:rPr>
          <w:rFonts w:hint="eastAsia" w:eastAsia="方正楷体_GBK"/>
          <w:szCs w:val="32"/>
          <w:lang w:val="zh-CN"/>
        </w:rPr>
        <w:t>（三）完善碳达峰碳中和政策体系</w:t>
      </w:r>
    </w:p>
    <w:p>
      <w:pPr>
        <w:spacing w:line="594" w:lineRule="exact"/>
        <w:ind w:firstLine="640" w:firstLineChars="200"/>
        <w:rPr>
          <w:rFonts w:hint="eastAsia"/>
          <w:szCs w:val="32"/>
        </w:rPr>
      </w:pPr>
      <w:r>
        <w:rPr>
          <w:rFonts w:hint="eastAsia"/>
          <w:szCs w:val="32"/>
        </w:rPr>
        <w:t>按照全市总体部署，立足本地资源禀赋和发展实际，编制全区碳达峰实施方案和“十四五”碳达峰行动计划。制定实施能源、工业、交通运输物流、城乡建设、农业农村等重点领域碳达峰实施方案，着力优化产业结构、能源结构、交通运输结构、用地结构。加强发展规划、国土空间规划、专项规划的支撑保障和衔接协调，确保落实碳达峰、碳中和的主要目标、发展方向、重大政策、重大项目等与全市协调一致、全区各领域协调一致。</w:t>
      </w:r>
      <w:r>
        <w:rPr>
          <w:rFonts w:eastAsia="方正楷体_GBK"/>
          <w:szCs w:val="32"/>
        </w:rPr>
        <w:t>（</w:t>
      </w:r>
      <w:bookmarkStart w:id="4" w:name="_Hlk114601459"/>
      <w:r>
        <w:rPr>
          <w:rFonts w:hint="eastAsia" w:eastAsia="方正楷体_GBK"/>
          <w:szCs w:val="32"/>
        </w:rPr>
        <w:t>牵头单位：</w:t>
      </w:r>
      <w:r>
        <w:rPr>
          <w:rFonts w:eastAsia="方正楷体_GBK"/>
          <w:szCs w:val="32"/>
        </w:rPr>
        <w:t>区</w:t>
      </w:r>
      <w:r>
        <w:rPr>
          <w:rFonts w:hint="eastAsia" w:eastAsia="方正楷体_GBK"/>
          <w:szCs w:val="32"/>
        </w:rPr>
        <w:t>碳达峰碳中和工作领导小组，责任单位：区发展改革委、</w:t>
      </w:r>
      <w:r>
        <w:rPr>
          <w:rFonts w:eastAsia="方正楷体_GBK"/>
          <w:szCs w:val="32"/>
        </w:rPr>
        <w:t>区</w:t>
      </w:r>
      <w:r>
        <w:rPr>
          <w:rFonts w:hint="eastAsia" w:eastAsia="方正楷体_GBK"/>
          <w:szCs w:val="32"/>
        </w:rPr>
        <w:t>经济信息</w:t>
      </w:r>
      <w:r>
        <w:rPr>
          <w:rFonts w:eastAsia="方正楷体_GBK"/>
          <w:szCs w:val="32"/>
        </w:rPr>
        <w:t>委、区</w:t>
      </w:r>
      <w:r>
        <w:rPr>
          <w:rFonts w:hint="eastAsia" w:eastAsia="方正楷体_GBK"/>
          <w:szCs w:val="32"/>
        </w:rPr>
        <w:t>交通</w:t>
      </w:r>
      <w:r>
        <w:rPr>
          <w:rFonts w:eastAsia="方正楷体_GBK"/>
          <w:szCs w:val="32"/>
        </w:rPr>
        <w:t>局、</w:t>
      </w:r>
      <w:r>
        <w:rPr>
          <w:rFonts w:hint="eastAsia" w:eastAsia="方正楷体_GBK"/>
          <w:szCs w:val="32"/>
        </w:rPr>
        <w:t>区住房城乡建委</w:t>
      </w:r>
      <w:r>
        <w:rPr>
          <w:rFonts w:eastAsia="方正楷体_GBK"/>
          <w:szCs w:val="32"/>
        </w:rPr>
        <w:t>、</w:t>
      </w:r>
      <w:r>
        <w:rPr>
          <w:rFonts w:hint="eastAsia" w:eastAsia="方正楷体_GBK"/>
          <w:szCs w:val="32"/>
        </w:rPr>
        <w:t>区农业农村委等</w:t>
      </w:r>
      <w:bookmarkEnd w:id="4"/>
      <w:r>
        <w:rPr>
          <w:szCs w:val="32"/>
        </w:rPr>
        <w:t>）</w:t>
      </w:r>
    </w:p>
    <w:bookmarkEnd w:id="3"/>
    <w:p>
      <w:pPr>
        <w:spacing w:line="594" w:lineRule="exact"/>
        <w:ind w:firstLine="640" w:firstLineChars="200"/>
        <w:rPr>
          <w:rFonts w:eastAsia="方正楷体_GBK"/>
          <w:szCs w:val="32"/>
          <w:lang w:val="zh-CN"/>
        </w:rPr>
      </w:pPr>
      <w:bookmarkStart w:id="5" w:name="_Hlk114222142"/>
      <w:r>
        <w:rPr>
          <w:rFonts w:hint="eastAsia" w:eastAsia="方正楷体_GBK"/>
          <w:szCs w:val="32"/>
          <w:lang w:val="zh-CN"/>
        </w:rPr>
        <w:t>（四）协同推进降碳减污扩绿增长</w:t>
      </w:r>
    </w:p>
    <w:p>
      <w:pPr>
        <w:spacing w:line="594" w:lineRule="exact"/>
        <w:ind w:firstLine="640" w:firstLineChars="200"/>
        <w:rPr>
          <w:rFonts w:hint="eastAsia"/>
          <w:szCs w:val="32"/>
        </w:rPr>
      </w:pPr>
      <w:r>
        <w:rPr>
          <w:rFonts w:hint="eastAsia"/>
          <w:szCs w:val="32"/>
        </w:rPr>
        <w:t>推动节能降碳和生态环保在战略规划、政策举措和发展目标等方面加强协同，促进绿色低碳与生态文明建设深度融合。加强减污降碳管理协同，将碳排放指标纳入污染治理技术评价体系，加强甲烷等非二氧化碳气体管控，逐步实现能耗“双控”向碳排放“双控”转变。提升清洁生产和污染防治水平，推进高耗能、高排放、低水平行业减污降碳协同控制。（</w:t>
      </w:r>
      <w:r>
        <w:rPr>
          <w:rFonts w:hint="eastAsia" w:eastAsia="方正楷体_GBK"/>
          <w:szCs w:val="32"/>
        </w:rPr>
        <w:t>牵头单位：</w:t>
      </w:r>
      <w:r>
        <w:rPr>
          <w:rFonts w:eastAsia="方正楷体_GBK"/>
          <w:szCs w:val="32"/>
        </w:rPr>
        <w:t>区</w:t>
      </w:r>
      <w:r>
        <w:rPr>
          <w:rFonts w:hint="eastAsia" w:eastAsia="方正楷体_GBK"/>
          <w:szCs w:val="32"/>
        </w:rPr>
        <w:t>碳达峰碳中和工作领导小组，责任单位：区发展改革委、</w:t>
      </w:r>
      <w:r>
        <w:rPr>
          <w:rFonts w:eastAsia="方正楷体_GBK"/>
          <w:szCs w:val="32"/>
        </w:rPr>
        <w:t>区</w:t>
      </w:r>
      <w:r>
        <w:rPr>
          <w:rFonts w:hint="eastAsia" w:eastAsia="方正楷体_GBK"/>
          <w:szCs w:val="32"/>
        </w:rPr>
        <w:t>生态环境局等</w:t>
      </w:r>
      <w:r>
        <w:rPr>
          <w:rFonts w:hint="eastAsia"/>
          <w:szCs w:val="32"/>
        </w:rPr>
        <w:t>）</w:t>
      </w:r>
    </w:p>
    <w:p>
      <w:pPr>
        <w:spacing w:line="594" w:lineRule="exact"/>
        <w:ind w:firstLine="640" w:firstLineChars="200"/>
        <w:rPr>
          <w:rFonts w:eastAsia="方正楷体_GBK"/>
          <w:szCs w:val="32"/>
          <w:lang w:val="zh-CN"/>
        </w:rPr>
      </w:pPr>
      <w:r>
        <w:rPr>
          <w:rFonts w:hint="eastAsia" w:eastAsia="方正楷体_GBK"/>
          <w:szCs w:val="32"/>
          <w:lang w:val="zh-CN"/>
        </w:rPr>
        <w:t>（五）融入区域绿色低碳转型格局</w:t>
      </w:r>
    </w:p>
    <w:p>
      <w:pPr>
        <w:spacing w:line="594" w:lineRule="exact"/>
        <w:ind w:firstLine="640" w:firstLineChars="200"/>
        <w:rPr>
          <w:rFonts w:hint="eastAsia"/>
          <w:szCs w:val="32"/>
        </w:rPr>
      </w:pPr>
      <w:r>
        <w:rPr>
          <w:rFonts w:hint="eastAsia"/>
          <w:szCs w:val="32"/>
        </w:rPr>
        <w:t>强化市内碳达峰协同联动，打造重庆主城都市区战略支点，扎实推进“一区两群”协调发展，强化政策衔接，落实市级能效、水效、环境标识等标准，科学制定碳达峰碳中和政策。打造成渝地区双城经济圈枢纽节点，提升区域交通运输组织效率和服务一体化水平，积极参与成渝地区双城经济圈碳达峰碳中和联合行动。落实长江经济带绿色发展战略，加强与长江经济带沿线</w:t>
      </w:r>
      <w:r>
        <w:rPr>
          <w:rFonts w:hint="eastAsia"/>
          <w:szCs w:val="32"/>
          <w:lang w:eastAsia="zh-CN"/>
        </w:rPr>
        <w:t>地区</w:t>
      </w:r>
      <w:r>
        <w:rPr>
          <w:rFonts w:hint="eastAsia"/>
          <w:szCs w:val="32"/>
        </w:rPr>
        <w:t>在绿色产业链供应链上下游协同。严格执行长江经济带发展负面清单管理制度体系，加强生态环境联防联控联治。融入共建绿色“一带一路”，依托西部陆海新通道，利用永川综合保税区、中新项目等开发平台，加强绿色技术、绿色装备等领域合作，鼓励绿色产品和服务“走出去”。（</w:t>
      </w:r>
      <w:r>
        <w:rPr>
          <w:rFonts w:hint="eastAsia" w:eastAsia="方正楷体_GBK"/>
          <w:szCs w:val="32"/>
        </w:rPr>
        <w:t>牵头单位：</w:t>
      </w:r>
      <w:r>
        <w:rPr>
          <w:rFonts w:eastAsia="方正楷体_GBK"/>
          <w:szCs w:val="32"/>
        </w:rPr>
        <w:t>区</w:t>
      </w:r>
      <w:r>
        <w:rPr>
          <w:rFonts w:hint="eastAsia" w:eastAsia="方正楷体_GBK"/>
          <w:szCs w:val="32"/>
        </w:rPr>
        <w:t>碳达峰碳中和工作领导小组，责任单位：区发展改革委、区生态环境局、</w:t>
      </w:r>
      <w:r>
        <w:rPr>
          <w:rFonts w:eastAsia="方正楷体_GBK"/>
          <w:szCs w:val="32"/>
        </w:rPr>
        <w:t>区</w:t>
      </w:r>
      <w:r>
        <w:rPr>
          <w:rFonts w:hint="eastAsia" w:eastAsia="方正楷体_GBK"/>
          <w:szCs w:val="32"/>
        </w:rPr>
        <w:t>经济信息</w:t>
      </w:r>
      <w:r>
        <w:rPr>
          <w:rFonts w:eastAsia="方正楷体_GBK"/>
          <w:szCs w:val="32"/>
        </w:rPr>
        <w:t>委、区</w:t>
      </w:r>
      <w:r>
        <w:rPr>
          <w:rFonts w:hint="eastAsia" w:eastAsia="方正楷体_GBK"/>
          <w:szCs w:val="32"/>
        </w:rPr>
        <w:t>交通</w:t>
      </w:r>
      <w:r>
        <w:rPr>
          <w:rFonts w:eastAsia="方正楷体_GBK"/>
          <w:szCs w:val="32"/>
        </w:rPr>
        <w:t>局、</w:t>
      </w:r>
      <w:r>
        <w:rPr>
          <w:rFonts w:hint="eastAsia" w:eastAsia="方正楷体_GBK"/>
          <w:szCs w:val="32"/>
        </w:rPr>
        <w:t>区商务委等）</w:t>
      </w:r>
    </w:p>
    <w:bookmarkEnd w:id="5"/>
    <w:p>
      <w:pPr>
        <w:spacing w:line="594" w:lineRule="exact"/>
        <w:ind w:firstLine="640" w:firstLineChars="200"/>
        <w:rPr>
          <w:rFonts w:hint="eastAsia" w:eastAsia="方正黑体_GBK"/>
          <w:szCs w:val="32"/>
        </w:rPr>
      </w:pPr>
      <w:bookmarkStart w:id="6" w:name="_Hlk114222058"/>
      <w:r>
        <w:rPr>
          <w:rFonts w:hint="eastAsia" w:eastAsia="方正黑体_GBK"/>
          <w:szCs w:val="32"/>
        </w:rPr>
        <w:t>三、推进重点领域绿色低碳转型</w:t>
      </w:r>
    </w:p>
    <w:p>
      <w:pPr>
        <w:spacing w:line="594" w:lineRule="exact"/>
        <w:ind w:firstLine="640" w:firstLineChars="200"/>
        <w:rPr>
          <w:rFonts w:eastAsia="方正楷体_GBK"/>
          <w:szCs w:val="32"/>
          <w:lang w:val="zh-CN"/>
        </w:rPr>
      </w:pPr>
      <w:r>
        <w:rPr>
          <w:rFonts w:hint="eastAsia" w:eastAsia="方正楷体_GBK"/>
          <w:szCs w:val="32"/>
          <w:lang w:val="zh-CN"/>
        </w:rPr>
        <w:t>（六）推动产业结构绿色低碳转型</w:t>
      </w:r>
    </w:p>
    <w:p>
      <w:pPr>
        <w:spacing w:line="594" w:lineRule="exact"/>
        <w:ind w:firstLine="640" w:firstLineChars="200"/>
        <w:rPr>
          <w:szCs w:val="32"/>
        </w:rPr>
      </w:pPr>
      <w:r>
        <w:rPr>
          <w:rFonts w:hint="eastAsia"/>
          <w:szCs w:val="32"/>
        </w:rPr>
        <w:t>1</w:t>
      </w:r>
      <w:r>
        <w:rPr>
          <w:szCs w:val="32"/>
        </w:rPr>
        <w:t xml:space="preserve">. </w:t>
      </w:r>
      <w:r>
        <w:rPr>
          <w:rFonts w:hint="eastAsia"/>
          <w:szCs w:val="32"/>
        </w:rPr>
        <w:t>推动工业绿色低碳发展。深入落实《以实现碳达峰碳中和目标为引领加快推进现代制造业基地绿色低碳发展行动计划（2022—2025年）》（永川府发〔2022〕11号），推动现有产业绿色转型，壮大绿色新兴产业。严格产业准入和落后产能退出，坚决遏制高能耗、高排放、低水平项目盲目发展。强化高耗能、高排放项目清洁生产评价，鼓励企业进行清洁生产。推动工业企业节能降碳改造，挖掘节能潜力，引导企业提升非化石能源使用比例。健全绿色制造体系，推动港桥产业园、三教产业园建设绿色园区，高起点建设一批绿色工厂。加大工业互联网平台建设应用，持续推进企业“上云用数赋智”，深化制造业数字化赋能与绿色化转型联动。积极引进和培育智能网联新能源汽车、节能环保装备、生物医药等绿色新兴产业，打造具有竞争力的绿色低碳产业集群。到2025年，规模以上单位工业增加值能耗较2020年下降14.5%，累计建成绿色工厂18个。</w:t>
      </w:r>
      <w:bookmarkStart w:id="7" w:name="_Hlk114601294"/>
      <w:r>
        <w:rPr>
          <w:rFonts w:eastAsia="方正楷体_GBK"/>
          <w:szCs w:val="32"/>
        </w:rPr>
        <w:t>（</w:t>
      </w:r>
      <w:r>
        <w:rPr>
          <w:rFonts w:hint="eastAsia" w:eastAsia="方正楷体_GBK"/>
          <w:szCs w:val="32"/>
        </w:rPr>
        <w:t>牵头单位：</w:t>
      </w:r>
      <w:r>
        <w:rPr>
          <w:rFonts w:eastAsia="方正楷体_GBK"/>
          <w:szCs w:val="32"/>
        </w:rPr>
        <w:t>区经济信息委</w:t>
      </w:r>
      <w:r>
        <w:rPr>
          <w:rFonts w:hint="eastAsia" w:eastAsia="方正楷体_GBK"/>
          <w:szCs w:val="32"/>
        </w:rPr>
        <w:t>，责任单位：</w:t>
      </w:r>
      <w:r>
        <w:rPr>
          <w:rFonts w:eastAsia="方正楷体_GBK"/>
          <w:szCs w:val="32"/>
        </w:rPr>
        <w:t>区发展改革委、区生态环境局、</w:t>
      </w:r>
      <w:bookmarkStart w:id="8" w:name="_Hlk104395194"/>
      <w:r>
        <w:rPr>
          <w:rFonts w:eastAsia="方正楷体_GBK"/>
          <w:szCs w:val="32"/>
        </w:rPr>
        <w:t>永川高新区管委会、</w:t>
      </w:r>
      <w:r>
        <w:rPr>
          <w:rFonts w:hint="eastAsia" w:eastAsia="方正楷体_GBK"/>
          <w:szCs w:val="32"/>
        </w:rPr>
        <w:t>港桥产业促进中心、三教产业促进中心</w:t>
      </w:r>
      <w:bookmarkEnd w:id="8"/>
      <w:r>
        <w:rPr>
          <w:rFonts w:hint="eastAsia" w:eastAsia="方正楷体_GBK"/>
          <w:szCs w:val="32"/>
        </w:rPr>
        <w:t>、区招商投资局、区</w:t>
      </w:r>
      <w:bookmarkStart w:id="9" w:name="_Hlk114580340"/>
      <w:r>
        <w:rPr>
          <w:rFonts w:hint="eastAsia" w:eastAsia="方正楷体_GBK"/>
          <w:szCs w:val="32"/>
        </w:rPr>
        <w:t>新城建管委</w:t>
      </w:r>
      <w:bookmarkEnd w:id="9"/>
      <w:r>
        <w:rPr>
          <w:rFonts w:hint="eastAsia" w:eastAsia="方正楷体_GBK"/>
          <w:szCs w:val="32"/>
        </w:rPr>
        <w:t>等</w:t>
      </w:r>
      <w:r>
        <w:rPr>
          <w:szCs w:val="32"/>
        </w:rPr>
        <w:t>）</w:t>
      </w:r>
      <w:bookmarkEnd w:id="7"/>
    </w:p>
    <w:p>
      <w:pPr>
        <w:spacing w:line="594" w:lineRule="exact"/>
        <w:ind w:firstLine="640" w:firstLineChars="200"/>
        <w:rPr>
          <w:rFonts w:hint="eastAsia" w:eastAsia="方正楷体_GBK"/>
          <w:szCs w:val="32"/>
        </w:rPr>
      </w:pPr>
      <w:r>
        <w:rPr>
          <w:rFonts w:hint="eastAsia"/>
          <w:szCs w:val="32"/>
        </w:rPr>
        <w:t>2</w:t>
      </w:r>
      <w:r>
        <w:rPr>
          <w:szCs w:val="32"/>
        </w:rPr>
        <w:t xml:space="preserve">. </w:t>
      </w:r>
      <w:r>
        <w:rPr>
          <w:rFonts w:hint="eastAsia"/>
          <w:szCs w:val="32"/>
        </w:rPr>
        <w:t>加快</w:t>
      </w:r>
      <w:r>
        <w:rPr>
          <w:szCs w:val="32"/>
          <w:lang w:val="zh-CN"/>
        </w:rPr>
        <w:t>服务业绿色低碳升级</w:t>
      </w:r>
      <w:r>
        <w:rPr>
          <w:szCs w:val="32"/>
        </w:rPr>
        <w:t>。</w:t>
      </w:r>
      <w:r>
        <w:rPr>
          <w:rFonts w:hint="eastAsia"/>
          <w:szCs w:val="32"/>
        </w:rPr>
        <w:t>将“绿色+”融入生产性和生活性服务业全过程。依托重庆云谷·永川大数据产业园，探索数字技术与服务业融合发展新路径，高标准建设渝西大数据中心，打造大数据赋能发展先行区，加速赋能经济社会发展。</w:t>
      </w:r>
      <w:r>
        <w:rPr>
          <w:szCs w:val="32"/>
        </w:rPr>
        <w:t>推动商贸行业绿色发展，</w:t>
      </w:r>
      <w:r>
        <w:rPr>
          <w:rFonts w:hint="eastAsia"/>
          <w:szCs w:val="32"/>
        </w:rPr>
        <w:t>支持万达广场、华茂中心建设绿色商场</w:t>
      </w:r>
      <w:r>
        <w:rPr>
          <w:szCs w:val="32"/>
        </w:rPr>
        <w:t>。推进物流行业绿色转型，</w:t>
      </w:r>
      <w:r>
        <w:rPr>
          <w:rFonts w:hint="eastAsia"/>
          <w:szCs w:val="32"/>
        </w:rPr>
        <w:t>大力发展智慧物流，促进邮政快递业绿色低碳发展，提升现代物流业绿色化水平</w:t>
      </w:r>
      <w:r>
        <w:rPr>
          <w:szCs w:val="32"/>
        </w:rPr>
        <w:t>。推进文化旅游绿色低碳发展，</w:t>
      </w:r>
      <w:r>
        <w:rPr>
          <w:rFonts w:hint="eastAsia"/>
          <w:szCs w:val="32"/>
        </w:rPr>
        <w:t>支持</w:t>
      </w:r>
      <w:r>
        <w:rPr>
          <w:szCs w:val="32"/>
        </w:rPr>
        <w:t>茶山竹海、松溉古镇等</w:t>
      </w:r>
      <w:r>
        <w:rPr>
          <w:rFonts w:hint="eastAsia"/>
          <w:szCs w:val="32"/>
        </w:rPr>
        <w:t>打造</w:t>
      </w:r>
      <w:r>
        <w:rPr>
          <w:szCs w:val="32"/>
        </w:rPr>
        <w:t>低碳零碳景区。有序发展出行、住宿等领域共享经济，倡导酒店、餐饮等服务单位减少一次性用品使用。</w:t>
      </w:r>
      <w:r>
        <w:rPr>
          <w:rFonts w:hint="eastAsia" w:eastAsia="方正楷体_GBK"/>
          <w:szCs w:val="32"/>
        </w:rPr>
        <w:t>（牵头单位：区发展改革委，责任单位：区新城建管委、</w:t>
      </w:r>
      <w:bookmarkStart w:id="10" w:name="_Hlk114596806"/>
      <w:r>
        <w:rPr>
          <w:rFonts w:hint="eastAsia" w:eastAsia="方正楷体_GBK"/>
          <w:szCs w:val="32"/>
        </w:rPr>
        <w:t>区大数据发展局</w:t>
      </w:r>
      <w:bookmarkEnd w:id="10"/>
      <w:r>
        <w:rPr>
          <w:rFonts w:hint="eastAsia" w:eastAsia="方正楷体_GBK"/>
          <w:szCs w:val="32"/>
        </w:rPr>
        <w:t>、区商务委、</w:t>
      </w:r>
      <w:bookmarkStart w:id="11" w:name="_Hlk114589669"/>
      <w:r>
        <w:rPr>
          <w:rFonts w:hint="eastAsia" w:eastAsia="方正楷体_GBK"/>
          <w:szCs w:val="32"/>
          <w:lang w:eastAsia="zh-CN"/>
        </w:rPr>
        <w:t>市邮政管理局七分局</w:t>
      </w:r>
      <w:r>
        <w:rPr>
          <w:rFonts w:hint="eastAsia" w:eastAsia="方正楷体_GBK"/>
          <w:szCs w:val="32"/>
        </w:rPr>
        <w:t>、</w:t>
      </w:r>
      <w:bookmarkEnd w:id="11"/>
      <w:r>
        <w:rPr>
          <w:rFonts w:hint="eastAsia" w:eastAsia="方正楷体_GBK"/>
          <w:szCs w:val="32"/>
        </w:rPr>
        <w:t>区文化旅游委等）</w:t>
      </w:r>
    </w:p>
    <w:p>
      <w:pPr>
        <w:spacing w:line="594" w:lineRule="exact"/>
        <w:ind w:firstLine="640" w:firstLineChars="200"/>
        <w:rPr>
          <w:rFonts w:hint="eastAsia"/>
          <w:szCs w:val="32"/>
        </w:rPr>
      </w:pPr>
      <w:r>
        <w:rPr>
          <w:rFonts w:hint="eastAsia"/>
          <w:szCs w:val="32"/>
        </w:rPr>
        <w:t>3</w:t>
      </w:r>
      <w:r>
        <w:rPr>
          <w:szCs w:val="32"/>
        </w:rPr>
        <w:t xml:space="preserve">. </w:t>
      </w:r>
      <w:r>
        <w:rPr>
          <w:rFonts w:hint="eastAsia"/>
          <w:szCs w:val="32"/>
        </w:rPr>
        <w:t>深化农业绿色低碳发展。深入推进农业供给侧结构性改革，大力发展特色高效农业，推进农业品种品质品牌建设，重点打造以茶叶、食用菌、名优水果和农产品加工业为特色的“3+1”农业产业体系。加大高标准农田建设力度，有序推进农田宜机化改造，加大老旧农机淘汰力度，积极推广绿色节能农机和高效节水技术。加快发展林业循环经济，积极申报创建国家森林生态标志产品和生产基地。推进农业生产数字化转型，发展智慧农业。到2025年，累计培育绿色、有机和地理标志农产品150个，发展高效节水灌溉2.72万亩。</w:t>
      </w:r>
      <w:bookmarkStart w:id="12" w:name="_Hlk114584649"/>
      <w:r>
        <w:rPr>
          <w:rFonts w:hint="eastAsia" w:eastAsia="方正楷体_GBK"/>
          <w:szCs w:val="32"/>
        </w:rPr>
        <w:t>（牵头单位：区农业农村委、区林业局，责任单位：区大数据发展局等）</w:t>
      </w:r>
      <w:bookmarkEnd w:id="12"/>
    </w:p>
    <w:p>
      <w:pPr>
        <w:spacing w:line="594" w:lineRule="exact"/>
        <w:ind w:firstLine="640" w:firstLineChars="200"/>
        <w:rPr>
          <w:rFonts w:eastAsia="方正楷体_GBK"/>
          <w:szCs w:val="32"/>
          <w:lang w:val="zh-CN"/>
        </w:rPr>
      </w:pPr>
      <w:r>
        <w:rPr>
          <w:rFonts w:hint="eastAsia" w:eastAsia="方正楷体_GBK"/>
          <w:szCs w:val="32"/>
          <w:lang w:val="zh-CN"/>
        </w:rPr>
        <w:t>（七）推动能源结构绿色低碳转型</w:t>
      </w:r>
    </w:p>
    <w:p>
      <w:pPr>
        <w:spacing w:line="594" w:lineRule="exact"/>
        <w:ind w:firstLine="640" w:firstLineChars="200"/>
        <w:rPr>
          <w:rFonts w:hint="eastAsia"/>
          <w:szCs w:val="32"/>
        </w:rPr>
      </w:pPr>
      <w:r>
        <w:rPr>
          <w:rFonts w:hint="eastAsia"/>
          <w:szCs w:val="32"/>
        </w:rPr>
        <w:t>有序控制化石燃料消费，推动新能源在安全可靠基础上逐步替代传统能源，推进煤炭清洁高效利用，逐步减少直至全区禁止煤炭散烧，保持石油消费处于合理区间，有序推动“以气代煤”“以气代油”“以电代油”，实施港桥园区“上大压小”热电联产项目，有序推进页岩气勘探开发利用。积极发展非化石能源，充分利用可再生能源资源，加快推进新型储能规模化应用，融入“成渝氢走廊”建设，有序推进永川区整区屋顶分布式光伏试点。因地制宜发展生物质能，稳步推进永川生活垃圾焚烧发电二期项目。持续提高能源利用效率，把节能贯穿于经济社会发展全过程全领域，深入挖掘存量项目节能减排潜力，继续实施重点用能单位“百千万”行动。加快构建清洁安全高效电力体系，推动电力系统适应高比例新能源并网运行，加强电力灵活调节能力建设。深化能源体制机制改革，积极参与电力市场化交易，落实可再生能源电力消纳保障制度，完善天然气（页岩气）利益共享机制，积极参与储备气量和储气服务市场化交易。</w:t>
      </w:r>
      <w:bookmarkStart w:id="13" w:name="_Hlk114589228"/>
      <w:r>
        <w:rPr>
          <w:rFonts w:hint="eastAsia" w:eastAsia="方正楷体_GBK"/>
          <w:szCs w:val="32"/>
        </w:rPr>
        <w:t>（牵头单位：区发展改革委，责任单位：区经济信息委、区生态环境局、区商务委、国网永川供电分公司等）</w:t>
      </w:r>
      <w:bookmarkEnd w:id="13"/>
    </w:p>
    <w:p>
      <w:pPr>
        <w:spacing w:line="594" w:lineRule="exact"/>
        <w:ind w:firstLine="640" w:firstLineChars="200"/>
        <w:rPr>
          <w:rFonts w:eastAsia="方正楷体_GBK"/>
          <w:szCs w:val="32"/>
          <w:lang w:val="zh-CN"/>
        </w:rPr>
      </w:pPr>
      <w:r>
        <w:rPr>
          <w:rFonts w:hint="eastAsia" w:eastAsia="方正楷体_GBK"/>
          <w:szCs w:val="32"/>
          <w:lang w:val="zh-CN"/>
        </w:rPr>
        <w:t>（八）推动交通运输绿色低碳转型</w:t>
      </w:r>
    </w:p>
    <w:p>
      <w:pPr>
        <w:spacing w:line="594" w:lineRule="exact"/>
        <w:ind w:firstLine="640" w:firstLineChars="200"/>
        <w:rPr>
          <w:rFonts w:hint="eastAsia"/>
          <w:szCs w:val="32"/>
        </w:rPr>
      </w:pPr>
      <w:r>
        <w:rPr>
          <w:rFonts w:hint="eastAsia"/>
          <w:szCs w:val="32"/>
        </w:rPr>
        <w:t>建设绿色低碳交通基础设施，完善“铁公水空”多式联运体系，提高铁路、水路在大宗货物和中长距离运输中的承运比重，构建高效集疏运体系，打造区域综合交通物流枢纽，推进公交站点智能化改造，加快新能源汽车充电、换电、加氢等基础设施建设。推广应用低碳运输工具装备，加快淘汰高耗能高排放老旧车船，加大新能源车船推广力度，率先推动公务用车和城市公交车辆的新能源替代，有序推动纯电动（换电）出租车发展，逐步降低传统燃油汽车在新车产销和汽车保有量中的占比。优化交通运输结构和组织效率，持续降低运输能耗和二氧化碳排放强度，优化客货运组织，降低空载率和不合理周转量，加快发展绿色物流，加快城乡物流配送绿色发展发展甩挂运输、共同配送，规范城区车辆停放，深化城市交通拥堵治理。</w:t>
      </w:r>
      <w:bookmarkStart w:id="14" w:name="_Hlk114594625"/>
      <w:r>
        <w:rPr>
          <w:rFonts w:hint="eastAsia" w:eastAsia="方正楷体_GBK"/>
          <w:szCs w:val="32"/>
        </w:rPr>
        <w:t>（牵头单位：区交通局，责任单位：区经济信息委、区发展改革委、区城市管理局、区商务委、</w:t>
      </w:r>
      <w:r>
        <w:rPr>
          <w:rFonts w:hint="eastAsia" w:eastAsia="方正楷体_GBK"/>
          <w:szCs w:val="32"/>
          <w:lang w:eastAsia="zh-CN"/>
        </w:rPr>
        <w:t>市邮政管理局七分局</w:t>
      </w:r>
      <w:r>
        <w:rPr>
          <w:rFonts w:hint="eastAsia" w:eastAsia="方正楷体_GBK"/>
          <w:szCs w:val="32"/>
        </w:rPr>
        <w:t>、区公安局等）</w:t>
      </w:r>
      <w:bookmarkEnd w:id="14"/>
    </w:p>
    <w:bookmarkEnd w:id="6"/>
    <w:p>
      <w:pPr>
        <w:spacing w:line="594" w:lineRule="exact"/>
        <w:ind w:firstLine="640" w:firstLineChars="200"/>
        <w:rPr>
          <w:rFonts w:eastAsia="方正楷体_GBK"/>
          <w:szCs w:val="32"/>
          <w:lang w:val="zh-CN"/>
        </w:rPr>
      </w:pPr>
      <w:r>
        <w:rPr>
          <w:rFonts w:hint="eastAsia" w:eastAsia="方正楷体_GBK"/>
          <w:szCs w:val="32"/>
          <w:lang w:val="zh-CN"/>
        </w:rPr>
        <w:t>（九）推动城乡建设</w:t>
      </w:r>
      <w:bookmarkStart w:id="15" w:name="_Hlk114221985"/>
      <w:r>
        <w:rPr>
          <w:rFonts w:hint="eastAsia" w:eastAsia="方正楷体_GBK"/>
          <w:szCs w:val="32"/>
          <w:lang w:val="zh-CN"/>
        </w:rPr>
        <w:t>绿色低碳转型</w:t>
      </w:r>
      <w:bookmarkEnd w:id="15"/>
    </w:p>
    <w:p>
      <w:pPr>
        <w:spacing w:line="594" w:lineRule="exact"/>
        <w:ind w:firstLine="640" w:firstLineChars="200"/>
        <w:rPr>
          <w:rFonts w:hint="eastAsia"/>
          <w:szCs w:val="32"/>
        </w:rPr>
      </w:pPr>
      <w:r>
        <w:rPr>
          <w:rFonts w:hint="eastAsia"/>
          <w:szCs w:val="32"/>
        </w:rPr>
        <w:t>推动城乡建设绿色低碳化发展，倡导绿色低碳设计理念，合理确定开发建设密度和强度，系统推进海绵城市建设，增强城乡气候韧性。大力发展新型建造方式，扩大装配式建筑实施范围，推广装配式建筑、绿色建材和钢结构住宅。健全建筑拆除管理制度，杜绝大拆大建。提升建筑能效水平，落实绿色建筑统一标识制度，开展建筑能效测评标识管理，推动适宜的公共建筑实施绿色化改造，逐步开展公共建筑能耗限额管理，打造一批绿色建筑及绿色生态住宅小区。探索可再生能源建筑应用，在工业园区、工业厂房、公共建筑和商业建筑开展分布式光伏利用和光伏建筑一体化试点，在建筑空调、生活热水、炊事等用能领域推广高效电气化应用技术与设备。</w:t>
      </w:r>
      <w:bookmarkStart w:id="16" w:name="_Hlk114596612"/>
      <w:r>
        <w:rPr>
          <w:rFonts w:hint="eastAsia" w:eastAsia="方正楷体_GBK"/>
          <w:szCs w:val="32"/>
        </w:rPr>
        <w:t>（牵头单位：区住房城乡建委，责任单位：区规划自然资源局、区城市管理局、区机关事务管理中心、区发展改革委、区经济信息委等）</w:t>
      </w:r>
      <w:bookmarkEnd w:id="16"/>
    </w:p>
    <w:p>
      <w:pPr>
        <w:spacing w:line="594" w:lineRule="exact"/>
        <w:ind w:firstLine="640" w:firstLineChars="200"/>
        <w:rPr>
          <w:rFonts w:eastAsia="方正楷体_GBK"/>
          <w:szCs w:val="32"/>
          <w:lang w:val="zh-CN"/>
        </w:rPr>
      </w:pPr>
      <w:r>
        <w:rPr>
          <w:rFonts w:hint="eastAsia" w:eastAsia="方正楷体_GBK"/>
          <w:szCs w:val="32"/>
          <w:lang w:val="zh-CN"/>
        </w:rPr>
        <w:t>（十）推动农业农村绿色低碳转型</w:t>
      </w:r>
    </w:p>
    <w:p>
      <w:pPr>
        <w:spacing w:line="594" w:lineRule="exact"/>
        <w:ind w:firstLine="640" w:firstLineChars="200"/>
        <w:rPr>
          <w:rFonts w:hint="eastAsia"/>
          <w:szCs w:val="32"/>
        </w:rPr>
      </w:pPr>
      <w:r>
        <w:rPr>
          <w:rFonts w:hint="eastAsia"/>
          <w:szCs w:val="32"/>
        </w:rPr>
        <w:t>推动农村用能革新，加快推进太阳能、生物质能等可再生能源在农业生产和农村生活中的应用，推动畜禽废弃物资源化利用。加强农村环保基础设施建设，加快农村电网、天然气管网等建设改造，提升农村用能电气化水平，有序推进农村日常照明、炊事、采暖制冷等用能绿色低碳转型。推行水产生态健康养殖，加强水域滩涂禁养区、限养区、养殖区管理，推进养殖尾水节水减排。实施化肥农药减量增效计划，合理控制化肥、农药使用量，鼓励发展有机肥、营养土与基质土产业。深入实施农膜回收行动，加强农膜全链条监管，推广易降解地膜。到2025年，全区受污染耕地安全利用率稳定在90%以上，化肥农药使用量总量5年期间下降</w:t>
      </w:r>
      <w:r>
        <w:rPr>
          <w:szCs w:val="32"/>
        </w:rPr>
        <w:t>1</w:t>
      </w:r>
      <w:r>
        <w:rPr>
          <w:rFonts w:hint="eastAsia"/>
          <w:szCs w:val="32"/>
        </w:rPr>
        <w:t>%，绿色防控率稳定在40%以上，秸秆综合利用率达到90%以上，畜禽粪污综合利用率达到90%以上。</w:t>
      </w:r>
      <w:r>
        <w:rPr>
          <w:rFonts w:hint="eastAsia" w:eastAsia="方正楷体_GBK"/>
          <w:szCs w:val="32"/>
        </w:rPr>
        <w:t>（牵头单位：区农业农村委，责任单位：区生态环境局、区供销社等）</w:t>
      </w:r>
    </w:p>
    <w:p>
      <w:pPr>
        <w:spacing w:line="594" w:lineRule="exact"/>
        <w:ind w:firstLine="640" w:firstLineChars="200"/>
        <w:rPr>
          <w:rFonts w:hint="eastAsia" w:eastAsia="方正黑体_GBK"/>
          <w:szCs w:val="32"/>
        </w:rPr>
      </w:pPr>
      <w:bookmarkStart w:id="17" w:name="_Toc14171"/>
      <w:bookmarkStart w:id="18" w:name="_Toc23863"/>
      <w:r>
        <w:rPr>
          <w:rFonts w:hint="eastAsia" w:eastAsia="方正黑体_GBK"/>
          <w:szCs w:val="32"/>
        </w:rPr>
        <w:t>四、系统支撑绿色低碳发展</w:t>
      </w:r>
    </w:p>
    <w:p>
      <w:pPr>
        <w:spacing w:line="594" w:lineRule="exact"/>
        <w:ind w:firstLine="640" w:firstLineChars="200"/>
        <w:rPr>
          <w:rFonts w:eastAsia="方正楷体_GBK"/>
          <w:szCs w:val="32"/>
          <w:lang w:val="zh-CN"/>
        </w:rPr>
      </w:pPr>
      <w:r>
        <w:rPr>
          <w:rFonts w:hint="eastAsia" w:eastAsia="方正楷体_GBK"/>
          <w:szCs w:val="32"/>
          <w:lang w:val="zh-CN"/>
        </w:rPr>
        <w:t>（十一）循环经济支撑绿色低碳发展</w:t>
      </w:r>
    </w:p>
    <w:p>
      <w:pPr>
        <w:spacing w:line="594" w:lineRule="exact"/>
        <w:ind w:firstLine="640" w:firstLineChars="200"/>
        <w:rPr>
          <w:rFonts w:hint="eastAsia"/>
          <w:szCs w:val="32"/>
        </w:rPr>
      </w:pPr>
      <w:bookmarkStart w:id="19" w:name="_Hlk114561845"/>
      <w:r>
        <w:rPr>
          <w:rFonts w:hint="eastAsia"/>
          <w:szCs w:val="32"/>
        </w:rPr>
        <w:t>推进产业园区循环化改造，推动企业循环式生产、产业循环式组合，促进废物综合利用、能源梯级利用、水资源循环利用，推广集中供气供热；完善循环产业链条，推动上下游企业共同提升资源利用效率，高水平打造绿色供应链。</w:t>
      </w:r>
      <w:bookmarkEnd w:id="19"/>
      <w:r>
        <w:rPr>
          <w:rFonts w:hint="eastAsia"/>
          <w:szCs w:val="32"/>
        </w:rPr>
        <w:t>加强大宗废弃物资源化利用，全面促进工业固废源头减量，支持企业实施清洁化改造；拓宽大宗固废综合利用渠道，培育一批工业资源综合利用骨干企业；持续推进农作物秸秆多途径综合利用，推动秸秆资源转化为高附加值的绿色产品。完善资源循环利用体系，完善废旧物资回收网络，推进垃圾分类回收与再生资源回收“两网融合”，推行“互联网+”回收模式，推进再生资源实物交割仓库、交易市场和物流配套建设，实现再生资源应收尽收；加强资源再生产品和再制造产品推广应用，支持开展退役动力电池梯级利用和再生利用。深入推进生活垃圾减量化资源化，持续推进生活垃圾分类工作，完善生活垃圾收运处置体系，提升生活垃圾资源化处理能力，提高城市生活垃圾中低值可回收物的回收和利用水平。到2025年，完成永川高新区园区循环化改造，大宗工业固废利用率保持在95%以上，城市生活垃圾分类体系基本健全，生活垃圾资源化利用率达到65</w:t>
      </w:r>
      <w:r>
        <w:rPr>
          <w:rFonts w:hint="eastAsia"/>
          <w:szCs w:val="32"/>
          <w:lang w:val="en-US" w:eastAsia="zh-CN"/>
        </w:rPr>
        <w:t>%</w:t>
      </w:r>
      <w:r>
        <w:rPr>
          <w:rFonts w:hint="eastAsia"/>
          <w:szCs w:val="32"/>
        </w:rPr>
        <w:t>。</w:t>
      </w:r>
      <w:r>
        <w:rPr>
          <w:rFonts w:eastAsia="方正楷体_GBK"/>
          <w:bCs/>
          <w:szCs w:val="32"/>
        </w:rPr>
        <w:t>（</w:t>
      </w:r>
      <w:r>
        <w:rPr>
          <w:rFonts w:hint="eastAsia" w:eastAsia="方正楷体_GBK"/>
          <w:bCs/>
          <w:szCs w:val="32"/>
        </w:rPr>
        <w:t>牵头单位：区发展改革委、区经济信息委、永川高新区管委会、区商务委、区城市管理局，责任单位：区生态环境局、区水利局、区农业农村委、港桥产业促进中心、三教产业促进中心等</w:t>
      </w:r>
      <w:r>
        <w:rPr>
          <w:rFonts w:eastAsia="方正楷体_GBK"/>
          <w:bCs/>
          <w:szCs w:val="32"/>
        </w:rPr>
        <w:t>）</w:t>
      </w:r>
    </w:p>
    <w:p>
      <w:pPr>
        <w:spacing w:line="594" w:lineRule="exact"/>
        <w:ind w:firstLine="640" w:firstLineChars="200"/>
        <w:rPr>
          <w:rFonts w:eastAsia="方正楷体_GBK"/>
          <w:szCs w:val="32"/>
          <w:lang w:val="zh-CN"/>
        </w:rPr>
      </w:pPr>
      <w:r>
        <w:rPr>
          <w:rFonts w:hint="eastAsia" w:eastAsia="方正楷体_GBK"/>
          <w:szCs w:val="32"/>
          <w:lang w:val="zh-CN"/>
        </w:rPr>
        <w:t>（十二）科技创新支撑绿色低碳发展</w:t>
      </w:r>
    </w:p>
    <w:p>
      <w:pPr>
        <w:spacing w:line="594" w:lineRule="exact"/>
        <w:ind w:firstLine="640" w:firstLineChars="200"/>
        <w:rPr>
          <w:rFonts w:hint="eastAsia"/>
          <w:szCs w:val="32"/>
        </w:rPr>
      </w:pPr>
      <w:r>
        <w:rPr>
          <w:rFonts w:hint="eastAsia"/>
          <w:szCs w:val="32"/>
        </w:rPr>
        <w:t>培育绿色低碳科技创新主体，以永川高新区为载体，积极创建市级以上绿色低碳创新平台和基地，持续推进绿色低碳科技</w:t>
      </w:r>
      <w:r>
        <w:rPr>
          <w:rFonts w:hint="eastAsia"/>
          <w:szCs w:val="32"/>
          <w:lang w:eastAsia="zh-CN"/>
        </w:rPr>
        <w:t>“</w:t>
      </w:r>
      <w:r>
        <w:rPr>
          <w:rFonts w:hint="eastAsia"/>
          <w:szCs w:val="32"/>
        </w:rPr>
        <w:t>小巨人</w:t>
      </w:r>
      <w:bookmarkStart w:id="28" w:name="_GoBack"/>
      <w:bookmarkEnd w:id="28"/>
      <w:r>
        <w:rPr>
          <w:rFonts w:hint="eastAsia"/>
          <w:szCs w:val="32"/>
          <w:lang w:eastAsia="zh-CN"/>
        </w:rPr>
        <w:t>”</w:t>
      </w:r>
      <w:r>
        <w:rPr>
          <w:rFonts w:hint="eastAsia"/>
          <w:szCs w:val="32"/>
        </w:rPr>
        <w:t>企业、科技型中小企业培育工作，支持企业引进国内外先进绿色低碳科技成果在区内转化应用，鼓励区内高校和科研机构加强与国内外科技创新平台合作。推进产学研融合，强化企业创新主体地位，建立市场化创新联合体，共同推进适应产业发展需求的绿色低碳技术项目，开展绿色低碳关键技术领域协同攻关。深入实施“逐浪奔永”人才集聚工程，加强绿色低碳发展人才引进工作。到2025年，全社会研发投入强度达3%，科技型企业数、高新技术企业数分别达1200家、300家。</w:t>
      </w:r>
      <w:bookmarkStart w:id="20" w:name="_Hlk114513113"/>
      <w:r>
        <w:rPr>
          <w:rFonts w:eastAsia="方正楷体_GBK"/>
          <w:bCs/>
          <w:szCs w:val="32"/>
        </w:rPr>
        <w:t>（</w:t>
      </w:r>
      <w:r>
        <w:rPr>
          <w:rFonts w:hint="eastAsia" w:eastAsia="方正楷体_GBK"/>
          <w:bCs/>
          <w:szCs w:val="32"/>
        </w:rPr>
        <w:t>牵头单位：区科技局，责任单位：区经济信息委、区人力社保局、永川高新区管委会、港桥产业促进中心、三教产业促进中心等</w:t>
      </w:r>
      <w:r>
        <w:rPr>
          <w:rFonts w:eastAsia="方正楷体_GBK"/>
          <w:bCs/>
          <w:szCs w:val="32"/>
        </w:rPr>
        <w:t>）</w:t>
      </w:r>
      <w:bookmarkEnd w:id="20"/>
    </w:p>
    <w:p>
      <w:pPr>
        <w:spacing w:line="594" w:lineRule="exact"/>
        <w:ind w:firstLine="640" w:firstLineChars="200"/>
        <w:rPr>
          <w:rFonts w:eastAsia="方正楷体_GBK"/>
          <w:szCs w:val="32"/>
          <w:lang w:val="zh-CN"/>
        </w:rPr>
      </w:pPr>
      <w:r>
        <w:rPr>
          <w:rFonts w:hint="eastAsia" w:eastAsia="方正楷体_GBK"/>
          <w:szCs w:val="32"/>
          <w:lang w:val="zh-CN"/>
        </w:rPr>
        <w:t>（十三）市场机制支撑绿色低碳发展</w:t>
      </w:r>
    </w:p>
    <w:p>
      <w:pPr>
        <w:spacing w:line="594" w:lineRule="exact"/>
        <w:ind w:firstLine="640" w:firstLineChars="200"/>
        <w:rPr>
          <w:rFonts w:hint="eastAsia"/>
          <w:szCs w:val="32"/>
        </w:rPr>
      </w:pPr>
      <w:r>
        <w:rPr>
          <w:rFonts w:hint="eastAsia"/>
          <w:szCs w:val="32"/>
        </w:rPr>
        <w:t>利用市场机制促进绿色低碳发展，积极加入碳排放权、用能权、排污权、用水权等环境权益类市场，推动各类要素向高端装备、信息技术等优质项目、企业、产业流动和集聚。积极执行碳排放报告和信息披露制度，鼓励发电企业、终端消费主体积极参与和推广绿色电力证书交易，全面落实森林、湿地、耕地等碳汇领域生态保护补偿机制。</w:t>
      </w:r>
      <w:bookmarkStart w:id="21" w:name="_Hlk114511950"/>
      <w:r>
        <w:rPr>
          <w:rFonts w:eastAsia="方正楷体_GBK"/>
          <w:bCs/>
          <w:szCs w:val="32"/>
        </w:rPr>
        <w:t>（</w:t>
      </w:r>
      <w:r>
        <w:rPr>
          <w:rFonts w:hint="eastAsia" w:eastAsia="方正楷体_GBK"/>
          <w:bCs/>
          <w:szCs w:val="32"/>
        </w:rPr>
        <w:t>牵头单位：区发展改革委、区生态环境局，责任单位：区水利局、区林业局、区规划自然资源局等</w:t>
      </w:r>
      <w:r>
        <w:rPr>
          <w:rFonts w:eastAsia="方正楷体_GBK"/>
          <w:bCs/>
          <w:szCs w:val="32"/>
        </w:rPr>
        <w:t>）</w:t>
      </w:r>
      <w:bookmarkEnd w:id="21"/>
    </w:p>
    <w:p>
      <w:pPr>
        <w:spacing w:line="594" w:lineRule="exact"/>
        <w:ind w:firstLine="640" w:firstLineChars="200"/>
        <w:rPr>
          <w:rFonts w:eastAsia="方正楷体_GBK"/>
          <w:szCs w:val="32"/>
          <w:lang w:val="zh-CN"/>
        </w:rPr>
      </w:pPr>
      <w:r>
        <w:rPr>
          <w:rFonts w:hint="eastAsia" w:eastAsia="方正楷体_GBK"/>
          <w:szCs w:val="32"/>
          <w:lang w:val="zh-CN"/>
        </w:rPr>
        <w:t>（十四）财政金融支撑绿色低碳发展</w:t>
      </w:r>
    </w:p>
    <w:p>
      <w:pPr>
        <w:spacing w:line="594" w:lineRule="exact"/>
        <w:ind w:firstLine="640" w:firstLineChars="200"/>
        <w:rPr>
          <w:rFonts w:hint="eastAsia"/>
          <w:szCs w:val="32"/>
        </w:rPr>
      </w:pPr>
      <w:r>
        <w:rPr>
          <w:rFonts w:hint="eastAsia"/>
          <w:szCs w:val="32"/>
        </w:rPr>
        <w:t>加大财政政策支持力度，统筹生态环保、节能减碳等财政资金，积极争取污染治理和节能减碳专项等中央财政资金，支持减污降碳重大项目建设，完善政府绿色采购标准，加大公共机构和国有企业绿色低碳产品采购力度，落实环境保护、节能节水、新能源和清洁能源车船等税收优惠。积极发展绿色金融，深入落实《永川区2022－2025年绿色金融支持碳达峰专项行动计划》（永川府办发〔2022〕71号），引导绿色金融机构落户永川，引导金融机构有序增加绿色资产配置，鼓励金融机构、金融组织创新并推广绿色金融产品和服务，加大对绿色农业、绿色工业、绿色服务业和科技创新等方面的支持力度，鼓励国有企业加大绿色低碳投资，吸引社会资本参与绿色低碳投资。</w:t>
      </w:r>
      <w:bookmarkStart w:id="22" w:name="_Hlk114511111"/>
      <w:r>
        <w:rPr>
          <w:rFonts w:eastAsia="方正楷体_GBK"/>
          <w:bCs/>
          <w:szCs w:val="32"/>
        </w:rPr>
        <w:t>（</w:t>
      </w:r>
      <w:r>
        <w:rPr>
          <w:rFonts w:hint="eastAsia" w:eastAsia="方正楷体_GBK"/>
          <w:bCs/>
          <w:szCs w:val="32"/>
        </w:rPr>
        <w:t>牵头单位：区财政局、区金融办，责任单位：区发展改革委、永川区税务局、</w:t>
      </w:r>
      <w:bookmarkStart w:id="23" w:name="_Hlk114595710"/>
      <w:r>
        <w:rPr>
          <w:rFonts w:hint="eastAsia" w:eastAsia="方正楷体_GBK"/>
          <w:bCs/>
          <w:szCs w:val="32"/>
        </w:rPr>
        <w:t>区机关事务管理中心、</w:t>
      </w:r>
      <w:bookmarkEnd w:id="23"/>
      <w:r>
        <w:rPr>
          <w:rFonts w:hint="eastAsia" w:eastAsia="方正楷体_GBK"/>
          <w:bCs/>
          <w:szCs w:val="32"/>
        </w:rPr>
        <w:t>区国资管理中心、人行永川中心支行等</w:t>
      </w:r>
      <w:r>
        <w:rPr>
          <w:rFonts w:eastAsia="方正楷体_GBK"/>
          <w:bCs/>
          <w:szCs w:val="32"/>
        </w:rPr>
        <w:t>）</w:t>
      </w:r>
      <w:bookmarkEnd w:id="22"/>
    </w:p>
    <w:p>
      <w:pPr>
        <w:spacing w:line="594" w:lineRule="exact"/>
        <w:ind w:firstLine="640" w:firstLineChars="200"/>
        <w:rPr>
          <w:rFonts w:eastAsia="方正楷体_GBK"/>
          <w:szCs w:val="32"/>
          <w:lang w:val="zh-CN"/>
        </w:rPr>
      </w:pPr>
      <w:r>
        <w:rPr>
          <w:rFonts w:hint="eastAsia" w:eastAsia="方正楷体_GBK"/>
          <w:szCs w:val="32"/>
          <w:lang w:val="zh-CN"/>
        </w:rPr>
        <w:t>（十五）全民参与支撑绿色低碳发展</w:t>
      </w:r>
    </w:p>
    <w:p>
      <w:pPr>
        <w:spacing w:line="594" w:lineRule="exact"/>
        <w:ind w:firstLine="640" w:firstLineChars="200"/>
        <w:rPr>
          <w:rFonts w:hint="eastAsia"/>
          <w:szCs w:val="32"/>
        </w:rPr>
      </w:pPr>
      <w:r>
        <w:rPr>
          <w:rFonts w:hint="eastAsia"/>
          <w:szCs w:val="32"/>
        </w:rPr>
        <w:t>加强绿色低碳宣传教育，组织开展绿色低碳宣传“进社区”“进企业”“进机关”“进校园”等系列活动，发挥舆论监督作用，树立学习榜样，曝光反面典型，鼓励在永高等院校开设绿色低碳相关专业，鼓励中小学普及绿色低碳发展基础知识。推广绿色低碳生产生活方式，坚决遏制奢侈浪费和不合理消费，持续实施居民生活垃圾分类行动，大力发展绿色消费，深化绿色家庭创建行动，深入开展公共机构绿色低碳引领行动，引导企业主动适应绿色低碳发展要求，自觉履行生态环保社会责任。做好领导干部学习培训，将学习贯彻习近平生态文明思想作为干部教育培训的重要内容，提升从事绿色低碳发展相关工作领导干部的专业素养和业务能力，切实增强推动绿色低碳发展的本领。</w:t>
      </w:r>
      <w:bookmarkStart w:id="24" w:name="_Hlk114509311"/>
      <w:r>
        <w:rPr>
          <w:rFonts w:eastAsia="方正楷体_GBK"/>
          <w:bCs/>
          <w:szCs w:val="32"/>
        </w:rPr>
        <w:t>（</w:t>
      </w:r>
      <w:r>
        <w:rPr>
          <w:rFonts w:hint="eastAsia" w:eastAsia="方正楷体_GBK"/>
          <w:bCs/>
          <w:szCs w:val="32"/>
        </w:rPr>
        <w:t>牵头单位：区委宣传部、区发展改革委、区委组织部，责任单位：永川高新区管委会、</w:t>
      </w:r>
      <w:r>
        <w:rPr>
          <w:rFonts w:eastAsia="方正楷体_GBK"/>
          <w:bCs/>
          <w:szCs w:val="32"/>
        </w:rPr>
        <w:t>区教委、</w:t>
      </w:r>
      <w:r>
        <w:rPr>
          <w:rFonts w:hint="eastAsia" w:eastAsia="方正楷体_GBK"/>
          <w:bCs/>
          <w:szCs w:val="32"/>
        </w:rPr>
        <w:t>区城市管理局、区机关事务管理中心、</w:t>
      </w:r>
      <w:r>
        <w:rPr>
          <w:rFonts w:eastAsia="方正楷体_GBK"/>
          <w:bCs/>
          <w:szCs w:val="32"/>
        </w:rPr>
        <w:t>区生态环境局</w:t>
      </w:r>
      <w:r>
        <w:rPr>
          <w:rFonts w:hint="eastAsia" w:eastAsia="方正楷体_GBK"/>
          <w:bCs/>
          <w:szCs w:val="32"/>
        </w:rPr>
        <w:t>等</w:t>
      </w:r>
      <w:r>
        <w:rPr>
          <w:rFonts w:eastAsia="方正楷体_GBK"/>
          <w:bCs/>
          <w:szCs w:val="32"/>
        </w:rPr>
        <w:t>）</w:t>
      </w:r>
    </w:p>
    <w:bookmarkEnd w:id="17"/>
    <w:bookmarkEnd w:id="18"/>
    <w:bookmarkEnd w:id="24"/>
    <w:p>
      <w:pPr>
        <w:spacing w:line="594" w:lineRule="exact"/>
        <w:ind w:firstLine="640" w:firstLineChars="200"/>
        <w:rPr>
          <w:rFonts w:hint="eastAsia" w:eastAsia="方正黑体_GBK"/>
          <w:szCs w:val="32"/>
        </w:rPr>
      </w:pPr>
      <w:r>
        <w:rPr>
          <w:rFonts w:hint="eastAsia" w:eastAsia="方正黑体_GBK"/>
          <w:szCs w:val="32"/>
        </w:rPr>
        <w:t>五、深入打好污染防治攻坚战</w:t>
      </w:r>
    </w:p>
    <w:p>
      <w:pPr>
        <w:spacing w:line="594" w:lineRule="exact"/>
        <w:ind w:firstLine="640" w:firstLineChars="200"/>
        <w:rPr>
          <w:rFonts w:eastAsia="方正楷体_GBK"/>
          <w:szCs w:val="32"/>
          <w:lang w:val="zh-CN"/>
        </w:rPr>
      </w:pPr>
      <w:bookmarkStart w:id="25" w:name="_Toc19752"/>
      <w:bookmarkStart w:id="26" w:name="_Toc25342"/>
      <w:r>
        <w:rPr>
          <w:rFonts w:hint="eastAsia" w:eastAsia="方正楷体_GBK"/>
          <w:szCs w:val="32"/>
          <w:lang w:val="zh-CN"/>
        </w:rPr>
        <w:t>（十六）深入打好“碧水”保卫战</w:t>
      </w:r>
    </w:p>
    <w:p>
      <w:pPr>
        <w:spacing w:line="594" w:lineRule="exact"/>
        <w:ind w:firstLine="640" w:firstLineChars="200"/>
        <w:rPr>
          <w:szCs w:val="32"/>
        </w:rPr>
      </w:pPr>
      <w:r>
        <w:rPr>
          <w:rFonts w:hint="eastAsia"/>
          <w:szCs w:val="32"/>
        </w:rPr>
        <w:t>深入开展临江河幸福河湖建设，大力推进“厂网河”一体化改革，强化城镇雨污分流系统、防溢流等工程建设，提升“千沟万塘”治理成果，推动污水处理设施尾水湿地和河道生态修复，保障河湖“长治久清”。深入实施流域精细化管控，不断完善水质目标考核、生态补偿等长效机制，持续开展工业园区“雨污分流专项整治”等工业污染防治，扎实推进农业面源污染治理，有效控制入河污染物排放。深入巩固城市水源地规范化建设成果，完成乡镇集中式饮用水水源保护区划定和勘界立标，定期组织开展饮用水源地突发环境事件应急演练，全面保障饮用水安全。</w:t>
      </w:r>
      <w:r>
        <w:rPr>
          <w:rFonts w:hint="eastAsia" w:eastAsia="方正楷体_GBK"/>
          <w:bCs/>
          <w:szCs w:val="32"/>
        </w:rPr>
        <w:t>（牵头单位：区生态环境局、区住房城乡建委、区水利局、区农业农村委，责任单位：区新城建管委、港桥产业促进中心、三教产业促进中心、各镇街）</w:t>
      </w:r>
    </w:p>
    <w:p>
      <w:pPr>
        <w:spacing w:line="594" w:lineRule="exact"/>
        <w:ind w:firstLine="640" w:firstLineChars="200"/>
        <w:rPr>
          <w:rFonts w:eastAsia="方正楷体_GBK"/>
          <w:szCs w:val="32"/>
          <w:lang w:val="zh-CN"/>
        </w:rPr>
      </w:pPr>
      <w:r>
        <w:rPr>
          <w:rFonts w:hint="eastAsia" w:eastAsia="方正楷体_GBK"/>
          <w:szCs w:val="32"/>
          <w:lang w:val="zh-CN"/>
        </w:rPr>
        <w:t>（十七）深入打好“蓝天”保卫战</w:t>
      </w:r>
    </w:p>
    <w:p>
      <w:pPr>
        <w:spacing w:line="594" w:lineRule="exact"/>
        <w:ind w:firstLine="640" w:firstLineChars="200"/>
        <w:rPr>
          <w:szCs w:val="32"/>
        </w:rPr>
      </w:pPr>
      <w:r>
        <w:rPr>
          <w:rFonts w:hint="eastAsia"/>
          <w:szCs w:val="32"/>
        </w:rPr>
        <w:t>聚焦秋冬季细颗粒物污染，强化网格化蓝天管控调度，健全污染过程预警应急分级响应机制，加大重点行业结构调整和污染治理力度，着力打好重污染天气消除攻坚战。聚焦夏秋季臭氧污染，引导企业落实错峰生产、削峰减排，推进重点行业领域挥发性有机物综合治理和原辅材料、产品源头替代，推进</w:t>
      </w:r>
      <w:r>
        <w:rPr>
          <w:szCs w:val="32"/>
        </w:rPr>
        <w:t>水泥行业企业超低排放改造，推进砖瓦窑行业废气深度治理</w:t>
      </w:r>
      <w:r>
        <w:rPr>
          <w:rFonts w:hint="eastAsia"/>
          <w:szCs w:val="32"/>
        </w:rPr>
        <w:t>，加快燃煤锅炉淘汰或清洁能源改造，着力打好臭氧污染防治攻坚战。有序推广清洁能源汽车，基本淘汰国三及以下排放标准汽车，打好柴油货车污染治理攻坚战。加强施工扬尘、道路扬尘、堆场扬尘监管整治，深化餐饮油烟恶臭异味防治，加强露天焚烧监管，全面加强大气面源污染治理。</w:t>
      </w:r>
      <w:r>
        <w:rPr>
          <w:rFonts w:hint="eastAsia" w:eastAsia="方正楷体_GBK"/>
          <w:bCs/>
          <w:szCs w:val="32"/>
        </w:rPr>
        <w:t>（牵头单位：区生态环境局、区城市管理局、区经济信息委、区交通局、区农业农村委、区住房城乡建委，责任单位：区财政局、区公安局、区市场监管局、区商务委、区机关事务管理中心，各镇街）</w:t>
      </w:r>
    </w:p>
    <w:p>
      <w:pPr>
        <w:spacing w:line="594" w:lineRule="exact"/>
        <w:ind w:firstLine="640" w:firstLineChars="200"/>
        <w:rPr>
          <w:rFonts w:eastAsia="方正楷体_GBK"/>
          <w:szCs w:val="32"/>
          <w:lang w:val="zh-CN"/>
        </w:rPr>
      </w:pPr>
      <w:r>
        <w:rPr>
          <w:rFonts w:hint="eastAsia" w:eastAsia="方正楷体_GBK"/>
          <w:szCs w:val="32"/>
          <w:lang w:val="zh-CN"/>
        </w:rPr>
        <w:t>（十八）深入打好“净土”保卫战</w:t>
      </w:r>
    </w:p>
    <w:p>
      <w:pPr>
        <w:spacing w:line="594" w:lineRule="exact"/>
        <w:ind w:firstLine="640" w:firstLineChars="200"/>
        <w:rPr>
          <w:szCs w:val="32"/>
        </w:rPr>
      </w:pPr>
      <w:r>
        <w:rPr>
          <w:rFonts w:hint="eastAsia"/>
          <w:szCs w:val="32"/>
        </w:rPr>
        <w:t>深入开展农村任务环境整治提升五年行动，</w:t>
      </w:r>
      <w:r>
        <w:rPr>
          <w:szCs w:val="32"/>
        </w:rPr>
        <w:t>深入实施农村“厕所革命”，推进农村生活污水治理和农村生活垃圾治理，基本消除较大面积农村黑臭水体，整治提升农村人居环境</w:t>
      </w:r>
      <w:r>
        <w:rPr>
          <w:rFonts w:hint="eastAsia"/>
          <w:szCs w:val="32"/>
        </w:rPr>
        <w:t>，持续打好农业农村污染治理攻坚战。强化受污染耕地安全利用和风险管控，开展农用地土壤镉等重金属污染源头防治行动，深入推进农用地土壤污染防治和安全利用。严格落实建设用地土壤污染风险管控和修复名录制度，未依法完成土壤污染状况调查和风险评估的地块，不得开工建设与风险管控和修复无关的项目，有效管控建设用地土壤污染风险。强化危险废物监管和利用处置能力建设，紧盯疫情防控期间医疗废物和医疗污水处置，保障有效收集和处理处置100%。</w:t>
      </w:r>
      <w:r>
        <w:rPr>
          <w:rFonts w:hint="eastAsia" w:eastAsia="方正楷体_GBK"/>
          <w:bCs/>
          <w:szCs w:val="32"/>
        </w:rPr>
        <w:t>（牵头单位：区生态环境局、区农业农村委、区规划自然资源局、区卫生健康委，责任单位：区住房城乡建委、区城市管理局、各镇街）</w:t>
      </w:r>
    </w:p>
    <w:p>
      <w:pPr>
        <w:spacing w:line="594" w:lineRule="exact"/>
        <w:ind w:firstLine="640" w:firstLineChars="200"/>
        <w:rPr>
          <w:rFonts w:eastAsia="方正楷体_GBK"/>
          <w:szCs w:val="32"/>
          <w:lang w:val="zh-CN"/>
        </w:rPr>
      </w:pPr>
      <w:r>
        <w:rPr>
          <w:rFonts w:hint="eastAsia" w:eastAsia="方正楷体_GBK"/>
          <w:szCs w:val="32"/>
          <w:lang w:val="zh-CN"/>
        </w:rPr>
        <w:t>（十九）深入实施噪声污染防治行动</w:t>
      </w:r>
    </w:p>
    <w:p>
      <w:pPr>
        <w:spacing w:line="594" w:lineRule="exact"/>
        <w:ind w:firstLine="640" w:firstLineChars="200"/>
        <w:rPr>
          <w:szCs w:val="32"/>
        </w:rPr>
      </w:pPr>
      <w:r>
        <w:rPr>
          <w:rFonts w:hint="eastAsia"/>
          <w:szCs w:val="32"/>
        </w:rPr>
        <w:t>从严管控生活噪声污染源，严格整治商业服务业、文体娱乐活动等突出生活噪声问题。深化交通噪声防控，加强机动车噪声污染控制，严肃查处交通违法行为，完善敏感区域道路隔声屏障建设。严格控制建筑施工噪声，加强夜间施工作业监管，鼓励使用低噪声施工设备和工艺，加强“高考、中考”等重要考试期间噪声监管，严厉打击环境违法行为。深入整治工业噪声，加强噪声排污许可管理，强化城市建成区内的噪声污染企业治理，基本消除城区工业噪声扰民。</w:t>
      </w:r>
      <w:r>
        <w:rPr>
          <w:rFonts w:hint="eastAsia" w:eastAsia="方正楷体_GBK"/>
          <w:szCs w:val="32"/>
        </w:rPr>
        <w:t>（牵头单位：区生态环境局、区公安局、区文化旅游委、区住房城乡建委、区城市管理局，责任单位：区经济信息委、区市场监管局、区交通局，各镇街）</w:t>
      </w:r>
    </w:p>
    <w:p>
      <w:pPr>
        <w:spacing w:line="594" w:lineRule="exact"/>
        <w:ind w:firstLine="640" w:firstLineChars="200"/>
        <w:rPr>
          <w:rFonts w:eastAsia="方正黑体_GBK"/>
          <w:szCs w:val="32"/>
        </w:rPr>
      </w:pPr>
      <w:r>
        <w:rPr>
          <w:rFonts w:hint="eastAsia" w:eastAsia="方正黑体_GBK"/>
          <w:szCs w:val="32"/>
        </w:rPr>
        <w:t>六、加强生态环境保护</w:t>
      </w:r>
    </w:p>
    <w:p>
      <w:pPr>
        <w:spacing w:line="594" w:lineRule="exact"/>
        <w:ind w:firstLine="640" w:firstLineChars="200"/>
        <w:rPr>
          <w:rFonts w:eastAsia="方正楷体_GBK"/>
          <w:szCs w:val="32"/>
          <w:lang w:val="zh-CN"/>
        </w:rPr>
      </w:pPr>
      <w:r>
        <w:rPr>
          <w:rFonts w:hint="eastAsia" w:eastAsia="方正楷体_GBK"/>
          <w:szCs w:val="32"/>
          <w:lang w:val="zh-CN"/>
        </w:rPr>
        <w:t>（二十）切实维护生态环境安全</w:t>
      </w:r>
    </w:p>
    <w:p>
      <w:pPr>
        <w:spacing w:line="594" w:lineRule="exact"/>
        <w:ind w:firstLine="640" w:firstLineChars="200"/>
        <w:rPr>
          <w:bCs/>
          <w:szCs w:val="32"/>
        </w:rPr>
      </w:pPr>
      <w:r>
        <w:rPr>
          <w:rFonts w:hint="eastAsia"/>
          <w:bCs/>
          <w:szCs w:val="32"/>
        </w:rPr>
        <w:t>把修复长江生态环境摆在压倒性位置，大力推进水土流失治理、历史遗留和关闭矿山生态修复等生态系统保护和修复工程，科学推进国土绿化，强化河湖湿地保护，持续提升生态系统质量。加强自然保护地和生态保护红线监管，持续推进“绿盾”自然保护地强化监督专项行动，依法加大生态破坏问题监督和查处力度。强化环境风险管控，完成重点河流突发水污染事件“一河一策一图”全覆盖，严密防范环境风险。严格辐射安全许可管理，加强放射性废物的收贮、暂存和管理，强化电磁辐射建设项目的事中事后监管，加强辐射应急响应。</w:t>
      </w:r>
      <w:r>
        <w:rPr>
          <w:rFonts w:hint="eastAsia" w:eastAsia="方正楷体_GBK"/>
          <w:bCs/>
          <w:szCs w:val="32"/>
        </w:rPr>
        <w:t>（牵头单位：区规划自然资源局、区林业局、区生态环境局、区水利局、区城市管理局，责任单位：区农业农村委、区交通局、区公安局、区卫生健康委、区应急局，各镇街）</w:t>
      </w:r>
    </w:p>
    <w:p>
      <w:pPr>
        <w:spacing w:line="594" w:lineRule="exact"/>
        <w:ind w:firstLine="640" w:firstLineChars="200"/>
        <w:rPr>
          <w:rFonts w:eastAsia="方正楷体_GBK"/>
          <w:szCs w:val="32"/>
          <w:lang w:val="zh-CN"/>
        </w:rPr>
      </w:pPr>
      <w:r>
        <w:rPr>
          <w:rFonts w:hint="eastAsia" w:eastAsia="方正楷体_GBK"/>
          <w:szCs w:val="32"/>
          <w:lang w:val="zh-CN"/>
        </w:rPr>
        <w:t>（二十一）不断提高生态环境治理现代化水平</w:t>
      </w:r>
    </w:p>
    <w:p>
      <w:pPr>
        <w:spacing w:line="594" w:lineRule="exact"/>
        <w:ind w:firstLine="640" w:firstLineChars="200"/>
        <w:rPr>
          <w:bCs/>
          <w:szCs w:val="32"/>
        </w:rPr>
      </w:pPr>
      <w:r>
        <w:rPr>
          <w:rFonts w:hint="eastAsia"/>
          <w:bCs/>
          <w:szCs w:val="32"/>
        </w:rPr>
        <w:t>加强“三线一单”成果应用，健全以环评制度为主体的源头预防体系，深化生态环境领域“放管服”改革。强化生态环境法治保障，强化生态环境行政执法与刑事司法衔接，依法对生态环境违法犯罪行为严惩重罚。深化推进生态环境监测执法现代化，标准化推进永川监测分中心、辐射三中心、环境应急分中心能力建设，提升监测能力。持续开发健全智慧环保系统，建立健全以污染源自动监控为主的非现场监管执法体系，提升监管能力水平。持续推进城乡污水管网全覆盖建设，推进城市污水处理、垃圾焚烧发电、垃圾填埋场渗滤液处理、污泥无害化处理、餐厨垃圾处理等环保基础设施扩建工程，不断补足环境基础设施短板。</w:t>
      </w:r>
      <w:r>
        <w:rPr>
          <w:rFonts w:hint="eastAsia" w:eastAsia="方正楷体_GBK"/>
          <w:bCs/>
          <w:szCs w:val="32"/>
        </w:rPr>
        <w:t>（牵头单位：区生态环境局、区住房城乡建委、区城市管理局，责任单位：区公安局、区检察院、区大数据发展局、区规划自然资源局）</w:t>
      </w:r>
    </w:p>
    <w:bookmarkEnd w:id="25"/>
    <w:bookmarkEnd w:id="26"/>
    <w:p>
      <w:pPr>
        <w:spacing w:line="594" w:lineRule="exact"/>
        <w:ind w:firstLine="640" w:firstLineChars="200"/>
        <w:rPr>
          <w:rFonts w:hint="eastAsia" w:eastAsia="方正黑体_GBK"/>
          <w:szCs w:val="32"/>
        </w:rPr>
      </w:pPr>
      <w:r>
        <w:rPr>
          <w:rFonts w:hint="eastAsia" w:eastAsia="方正黑体_GBK"/>
          <w:szCs w:val="32"/>
        </w:rPr>
        <w:t>七、保障措施</w:t>
      </w:r>
    </w:p>
    <w:p>
      <w:pPr>
        <w:spacing w:line="594" w:lineRule="exact"/>
        <w:ind w:firstLine="640" w:firstLineChars="200"/>
        <w:rPr>
          <w:rFonts w:hint="eastAsia" w:eastAsia="方正楷体_GBK"/>
          <w:szCs w:val="32"/>
          <w:lang w:val="zh-CN"/>
        </w:rPr>
      </w:pPr>
      <w:bookmarkStart w:id="27" w:name="_Hlk114166963"/>
      <w:r>
        <w:rPr>
          <w:rFonts w:eastAsia="方正楷体_GBK"/>
          <w:szCs w:val="32"/>
          <w:lang w:val="zh-CN"/>
        </w:rPr>
        <w:t>（</w:t>
      </w:r>
      <w:r>
        <w:rPr>
          <w:rFonts w:hint="eastAsia" w:eastAsia="方正楷体_GBK"/>
          <w:szCs w:val="32"/>
          <w:lang w:val="zh-CN"/>
        </w:rPr>
        <w:t>二十二</w:t>
      </w:r>
      <w:r>
        <w:rPr>
          <w:rFonts w:eastAsia="方正楷体_GBK"/>
          <w:szCs w:val="32"/>
          <w:lang w:val="zh-CN"/>
        </w:rPr>
        <w:t>）</w:t>
      </w:r>
      <w:r>
        <w:rPr>
          <w:rFonts w:hint="eastAsia" w:eastAsia="方正楷体_GBK"/>
          <w:szCs w:val="32"/>
          <w:lang w:val="zh-CN"/>
        </w:rPr>
        <w:t>加强统筹协调</w:t>
      </w:r>
    </w:p>
    <w:bookmarkEnd w:id="27"/>
    <w:p>
      <w:pPr>
        <w:spacing w:line="594" w:lineRule="exact"/>
        <w:ind w:firstLine="640" w:firstLineChars="200"/>
        <w:rPr>
          <w:rFonts w:hint="eastAsia"/>
          <w:bCs/>
          <w:szCs w:val="32"/>
        </w:rPr>
      </w:pPr>
      <w:r>
        <w:rPr>
          <w:rFonts w:hint="eastAsia"/>
          <w:bCs/>
          <w:szCs w:val="32"/>
        </w:rPr>
        <w:t>充分发挥区碳达峰碳中和工作领导小组作用，定期对镇街、有关部门和重点领域、重点行业工作进展情况进行调度，压实各方责任，协调解决重大事项，进一步深化与市级部门会商机制，形成上下联动、衔接有序的工作格局。</w:t>
      </w:r>
    </w:p>
    <w:p>
      <w:pPr>
        <w:spacing w:line="594" w:lineRule="exact"/>
        <w:ind w:firstLine="640" w:firstLineChars="200"/>
        <w:rPr>
          <w:rFonts w:hint="eastAsia" w:eastAsia="方正楷体_GBK"/>
          <w:szCs w:val="32"/>
          <w:lang w:val="zh-CN"/>
        </w:rPr>
      </w:pPr>
      <w:r>
        <w:rPr>
          <w:rFonts w:eastAsia="方正楷体_GBK"/>
          <w:szCs w:val="32"/>
          <w:lang w:val="zh-CN"/>
        </w:rPr>
        <w:t>（</w:t>
      </w:r>
      <w:r>
        <w:rPr>
          <w:rFonts w:hint="eastAsia" w:eastAsia="方正楷体_GBK"/>
          <w:szCs w:val="32"/>
          <w:lang w:val="zh-CN"/>
        </w:rPr>
        <w:t>二十三</w:t>
      </w:r>
      <w:r>
        <w:rPr>
          <w:rFonts w:eastAsia="方正楷体_GBK"/>
          <w:szCs w:val="32"/>
          <w:lang w:val="zh-CN"/>
        </w:rPr>
        <w:t>）</w:t>
      </w:r>
      <w:r>
        <w:rPr>
          <w:rFonts w:hint="eastAsia" w:eastAsia="方正楷体_GBK"/>
          <w:szCs w:val="32"/>
          <w:lang w:val="zh-CN"/>
        </w:rPr>
        <w:t>强化责任落实</w:t>
      </w:r>
    </w:p>
    <w:p>
      <w:pPr>
        <w:spacing w:line="594" w:lineRule="exact"/>
        <w:ind w:firstLine="640" w:firstLineChars="200"/>
        <w:rPr>
          <w:bCs/>
          <w:szCs w:val="32"/>
        </w:rPr>
      </w:pPr>
      <w:r>
        <w:rPr>
          <w:rFonts w:hint="eastAsia"/>
          <w:bCs/>
          <w:szCs w:val="32"/>
        </w:rPr>
        <w:t>区级有关部门和单位要按照职责分工，积极发挥自身作用，在各自领域实施有针对性的节能降碳措施，推进绿色低碳发展，着力抓好各项任务落实，确保政策措施落到实处。</w:t>
      </w:r>
    </w:p>
    <w:p>
      <w:pPr>
        <w:spacing w:line="594" w:lineRule="exact"/>
        <w:ind w:firstLine="640" w:firstLineChars="200"/>
        <w:rPr>
          <w:rFonts w:hint="eastAsia" w:eastAsia="方正楷体_GBK"/>
          <w:szCs w:val="32"/>
          <w:lang w:val="zh-CN"/>
        </w:rPr>
      </w:pPr>
      <w:r>
        <w:rPr>
          <w:rFonts w:eastAsia="方正楷体_GBK"/>
          <w:szCs w:val="32"/>
          <w:lang w:val="zh-CN"/>
        </w:rPr>
        <w:t>（</w:t>
      </w:r>
      <w:r>
        <w:rPr>
          <w:rFonts w:hint="eastAsia" w:eastAsia="方正楷体_GBK"/>
          <w:szCs w:val="32"/>
          <w:lang w:val="zh-CN"/>
        </w:rPr>
        <w:t>二十四</w:t>
      </w:r>
      <w:r>
        <w:rPr>
          <w:rFonts w:eastAsia="方正楷体_GBK"/>
          <w:szCs w:val="32"/>
          <w:lang w:val="zh-CN"/>
        </w:rPr>
        <w:t>）</w:t>
      </w:r>
      <w:r>
        <w:rPr>
          <w:rFonts w:hint="eastAsia" w:eastAsia="方正楷体_GBK"/>
          <w:szCs w:val="32"/>
          <w:lang w:val="zh-CN"/>
        </w:rPr>
        <w:t>严格监督考核</w:t>
      </w:r>
    </w:p>
    <w:p>
      <w:pPr>
        <w:spacing w:line="594" w:lineRule="exact"/>
        <w:ind w:firstLine="640" w:firstLineChars="200"/>
        <w:rPr>
          <w:rFonts w:hint="eastAsia"/>
          <w:bCs/>
          <w:szCs w:val="32"/>
        </w:rPr>
      </w:pPr>
      <w:r>
        <w:rPr>
          <w:rFonts w:hint="eastAsia"/>
          <w:bCs/>
          <w:szCs w:val="32"/>
        </w:rPr>
        <w:t>将碳达峰碳中和、污染防治攻坚战、生态环境保护相关指标纳入经济社会发展综合评价体系，建立督查激励和考核问责机制，对推动绿色低碳发展工作成效突出的单位和个人按规定给予表彰奖励，对未完成目标任务的部门依法依规实行通报批评和约谈问责。</w:t>
      </w:r>
    </w:p>
    <w:p>
      <w:pPr>
        <w:spacing w:line="594" w:lineRule="exact"/>
        <w:ind w:firstLine="640" w:firstLineChars="200"/>
        <w:rPr>
          <w:rFonts w:hint="eastAsia"/>
          <w:bCs/>
          <w:szCs w:val="32"/>
        </w:rPr>
      </w:pPr>
    </w:p>
    <w:p>
      <w:pPr>
        <w:spacing w:line="594" w:lineRule="exact"/>
        <w:ind w:firstLine="640" w:firstLineChars="200"/>
        <w:rPr>
          <w:rFonts w:hint="eastAsia"/>
          <w:bCs/>
          <w:szCs w:val="32"/>
          <w:lang w:val="en-US" w:eastAsia="zh-CN"/>
        </w:rPr>
      </w:pPr>
    </w:p>
    <w:sectPr>
      <w:headerReference r:id="rId5" w:type="default"/>
      <w:footerReference r:id="rId6"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00"/>
    <w:family w:val="auto"/>
    <w:pitch w:val="default"/>
    <w:sig w:usb0="00000003" w:usb1="288F0000" w:usb2="0000001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auto"/>
    <w:pitch w:val="default"/>
    <w:sig w:usb0="00000001" w:usb1="080E0000" w:usb2="00000000" w:usb3="00000000" w:csb0="00040000" w:csb1="00000000"/>
  </w:font>
  <w:font w:name="����">
    <w:altName w:val="华文中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ourier New">
    <w:altName w:val="DejaVu Sans"/>
    <w:panose1 w:val="02070309020205020404"/>
    <w:charset w:val="00"/>
    <w:family w:val="modern"/>
    <w:pitch w:val="default"/>
    <w:sig w:usb0="E0002EFF" w:usb1="C0007843" w:usb2="00000009" w:usb3="00000000" w:csb0="000001FF" w:csb1="00000000"/>
  </w:font>
  <w:font w:name="Algerian">
    <w:altName w:val="Swis721 BlkOul BT"/>
    <w:panose1 w:val="04020705040A02060702"/>
    <w:charset w:val="00"/>
    <w:family w:val="decorative"/>
    <w:pitch w:val="default"/>
    <w:sig w:usb0="00000003" w:usb1="00000000" w:usb2="00000000" w:usb3="00000000" w:csb0="00000001" w:csb1="00000000"/>
  </w:font>
  <w:font w:name="等线">
    <w:altName w:val="华文中宋"/>
    <w:panose1 w:val="02010600030101010101"/>
    <w:charset w:val="00"/>
    <w:family w:val="auto"/>
    <w:pitch w:val="default"/>
    <w:sig w:usb0="A00002BF" w:usb1="38CF7CFA" w:usb2="00000016" w:usb3="00000000" w:csb0="0004000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Swis721 BlkOul BT">
    <w:panose1 w:val="04020905030B03040203"/>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7296"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WFWiqIQ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BYAAABkcnMvUEsBAhQA&#10;FAAAAAgAh07iQLNJWO7QAAAABQEAAA8AAAAAAAAAAQAgAAAAOAAAAGRycy9kb3ducmV2LnhtbFBL&#10;AQIUABQAAAAIAIdO4kBWFWiqIQIAADcEAAAOAAAAAAAAAAEAIAAAADUBAABkcnMvZTJvRG9jLnht&#10;bFBLBQYAAAAABgAGAFkBAADIBQ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11"/>
      <w:tabs>
        <w:tab w:val="center" w:pos="1480"/>
        <w:tab w:val="clear" w:pos="4153"/>
      </w:tabs>
      <w:wordWrap w:val="0"/>
      <w:ind w:left="2870" w:leftChars="897" w:firstLine="8134" w:firstLineChars="2905"/>
      <w:jc w:val="right"/>
      <w:rPr>
        <w:rFonts w:hint="eastAsia" w:ascii="宋体" w:hAnsi="宋体" w:eastAsia="宋体" w:cs="宋体"/>
        <w:b/>
        <w:bCs/>
        <w:color w:val="005192"/>
        <w:sz w:val="28"/>
        <w:szCs w:val="44"/>
        <w:lang w:val="en-US" w:eastAsia="zh-CN"/>
      </w:rPr>
    </w:pPr>
    <w:r>
      <w:rPr>
        <w:color w:val="FAFAFA"/>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74295</wp:posOffset>
              </wp:positionV>
              <wp:extent cx="5616575" cy="190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pt;margin-top:5.85pt;height:0.15pt;width:442.25pt;z-index:251659264;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WAAAAZHJzL1BLAQIUABQAAAAIAIdO4kDzp6XR1AAA&#10;AAYBAAAPAAAAAAAAAAEAIAAAADgAAABkcnMvZG93bnJldi54bWxQSwECFAAUAAAACACHTuJAQhCS&#10;aNMBAAB1AwAADgAAAAAAAAABACAAAAA5AQAAZHJzL2Uyb0RvYy54bWxQSwUGAAAAAAYABgBZAQAA&#10;fgUAAAAA&#10;">
              <v:fill on="f" focussize="0,0"/>
              <v:stroke weight="1.75pt" color="#005192" miterlimit="8" joinstyle="miter"/>
              <v:imagedata o:title=""/>
              <o:lock v:ext="edit" aspectratio="f"/>
            </v:line>
          </w:pict>
        </mc:Fallback>
      </mc:AlternateContent>
    </w:r>
    <w:r>
      <w:rPr>
        <w:rFonts w:hint="eastAsia"/>
        <w:color w:val="FAFAFA"/>
        <w:sz w:val="28"/>
        <w:szCs w:val="28"/>
        <w:lang w:val="en-US" w:eastAsia="zh-CN"/>
      </w:rPr>
      <w:t xml:space="preserve"> </w:t>
    </w:r>
    <w:r>
      <w:rPr>
        <w:rFonts w:hint="eastAsia" w:ascii="宋体" w:hAnsi="宋体" w:eastAsia="宋体" w:cs="宋体"/>
        <w:b/>
        <w:bCs/>
        <w:color w:val="005192"/>
        <w:sz w:val="28"/>
        <w:szCs w:val="44"/>
        <w:lang w:eastAsia="zh-CN"/>
      </w:rPr>
      <w:t>重庆市永川区人民政府办公室发布</w:t>
    </w:r>
    <w:r>
      <w:rPr>
        <w:rFonts w:hint="eastAsia" w:ascii="宋体" w:hAnsi="宋体" w:eastAsia="宋体" w:cs="宋体"/>
        <w:b/>
        <w:bCs/>
        <w:color w:val="005192"/>
        <w:sz w:val="28"/>
        <w:szCs w:val="44"/>
        <w:lang w:val="en-US" w:eastAsia="zh-CN"/>
      </w:rPr>
      <w:t xml:space="preserve">     </w:t>
    </w:r>
  </w:p>
  <w:p>
    <w:pPr>
      <w:pStyle w:val="11"/>
      <w:wordWrap/>
      <w:spacing w:line="240" w:lineRule="auto"/>
      <w:ind w:left="5770" w:leftChars="1803" w:firstLine="6498" w:firstLineChars="2312"/>
      <w:jc w:val="left"/>
      <w:rPr>
        <w:rFonts w:hint="eastAsia" w:ascii="宋体" w:hAnsi="宋体" w:eastAsia="宋体" w:cs="宋体"/>
        <w:b/>
        <w:bCs/>
        <w:color w:val="005192"/>
        <w:sz w:val="28"/>
        <w:szCs w:val="28"/>
        <w:lang w:val="en-US" w:eastAsia="zh-CN"/>
      </w:rPr>
    </w:pPr>
  </w:p>
  <w:p>
    <w:pPr>
      <w:pStyle w:val="11"/>
      <w:wordWrap w:val="0"/>
      <w:ind w:left="7296" w:leftChars="2280" w:firstLine="5621" w:firstLineChars="2000"/>
      <w:jc w:val="right"/>
      <w:rPr>
        <w:rFonts w:hint="eastAsia" w:ascii="宋体" w:hAnsi="宋体" w:eastAsia="宋体" w:cs="宋体"/>
        <w:b/>
        <w:bCs/>
        <w:color w:val="005192"/>
        <w:sz w:val="28"/>
        <w:szCs w:val="44"/>
        <w:lang w:val="en-US" w:eastAsia="zh-C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690245</wp:posOffset>
              </wp:positionV>
              <wp:extent cx="5620385" cy="0"/>
              <wp:effectExtent l="0" t="0" r="0" b="0"/>
              <wp:wrapNone/>
              <wp:docPr id="1"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cap="flat" cmpd="sng">
                        <a:solidFill>
                          <a:srgbClr val="0070C0"/>
                        </a:solidFill>
                        <a:prstDash val="solid"/>
                        <a:miter/>
                        <a:headEnd type="none" w="med" len="med"/>
                        <a:tailEnd type="none" w="med" len="med"/>
                      </a:ln>
                    </wps:spPr>
                    <wps:bodyPr/>
                  </wps:wsp>
                </a:graphicData>
              </a:graphic>
            </wp:anchor>
          </w:drawing>
        </mc:Choice>
        <mc:Fallback>
          <w:pict>
            <v:line id="直接连接符 4" o:spid="_x0000_s1026" o:spt="20" style="position:absolute;left:0pt;margin-left:0pt;margin-top:54.35pt;height:0pt;width:442.55pt;z-index:251658240;mso-width-relative:page;mso-height-relative:page;" filled="f" stroked="t" coordsize="21600,21600" o:gfxdata="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PHthVdIA&#10;AAAIAQAADwAAAAAAAAABACAAAAA4AAAAZHJzL2Rvd25yZXYueG1sUEsBAhQAFAAAAAgAh07iQHBx&#10;M4PWAQAAlQMAAA4AAAAAAAAAAQAgAAAANwEAAGRycy9lMm9Eb2MueG1sUEsFBgAAAAAGAAYAWQEA&#10;AH8FAAAAAA==&#10;">
              <v:fill on="f" focussize="0,0"/>
              <v:stroke weight="1.75pt" color="#0070C0" joinstyle="miter"/>
              <v:imagedata o:title=""/>
              <o:lock v:ext="edit" aspectratio="f"/>
            </v:line>
          </w:pict>
        </mc:Fallback>
      </mc:AlternateContent>
    </w:r>
  </w:p>
  <w:p>
    <w:pPr>
      <w:pStyle w:val="11"/>
      <w:keepNext w:val="0"/>
      <w:keepLines w:val="0"/>
      <w:pageBreakBefore w:val="0"/>
      <w:widowControl w:val="0"/>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0" b="0"/>
          <wp:docPr id="2"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descr="国徽1024"/>
                  <pic:cNvPicPr>
                    <a:picLocks noChangeAspect="true"/>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永川区人民政府办公室</w:t>
    </w:r>
    <w:r>
      <w:rPr>
        <w:rFonts w:hint="eastAsia" w:ascii="宋体" w:hAnsi="宋体" w:eastAsia="宋体" w:cs="宋体"/>
        <w:b/>
        <w:bCs/>
        <w:color w:val="005192"/>
        <w:sz w:val="32"/>
        <w:szCs w:val="32"/>
        <w:lang w:val="en-US"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5MjAzMGUwMWU2MzNmYTc3ODU4ZDZlYTNiMzZiY2MifQ=="/>
  </w:docVars>
  <w:rsids>
    <w:rsidRoot w:val="00CE3AB1"/>
    <w:rsid w:val="00000382"/>
    <w:rsid w:val="00003093"/>
    <w:rsid w:val="0000329F"/>
    <w:rsid w:val="00007FC6"/>
    <w:rsid w:val="000116DA"/>
    <w:rsid w:val="00013335"/>
    <w:rsid w:val="00014B91"/>
    <w:rsid w:val="00015E64"/>
    <w:rsid w:val="00017121"/>
    <w:rsid w:val="0002010A"/>
    <w:rsid w:val="0002225C"/>
    <w:rsid w:val="0002331B"/>
    <w:rsid w:val="0002417D"/>
    <w:rsid w:val="00024B01"/>
    <w:rsid w:val="00026F0E"/>
    <w:rsid w:val="000274E9"/>
    <w:rsid w:val="00030168"/>
    <w:rsid w:val="00030AB7"/>
    <w:rsid w:val="00031173"/>
    <w:rsid w:val="00031C22"/>
    <w:rsid w:val="00032977"/>
    <w:rsid w:val="00032B25"/>
    <w:rsid w:val="00033BC7"/>
    <w:rsid w:val="00035E05"/>
    <w:rsid w:val="00037023"/>
    <w:rsid w:val="0004032B"/>
    <w:rsid w:val="000415C6"/>
    <w:rsid w:val="00041B53"/>
    <w:rsid w:val="00041E75"/>
    <w:rsid w:val="0004373C"/>
    <w:rsid w:val="00043866"/>
    <w:rsid w:val="00043AB3"/>
    <w:rsid w:val="00043FE8"/>
    <w:rsid w:val="000460AE"/>
    <w:rsid w:val="0004614A"/>
    <w:rsid w:val="000476FF"/>
    <w:rsid w:val="00051EA7"/>
    <w:rsid w:val="00055746"/>
    <w:rsid w:val="00056F10"/>
    <w:rsid w:val="00057F7E"/>
    <w:rsid w:val="000604B2"/>
    <w:rsid w:val="0006085E"/>
    <w:rsid w:val="00060E1C"/>
    <w:rsid w:val="00063AD5"/>
    <w:rsid w:val="00065EDA"/>
    <w:rsid w:val="000660AB"/>
    <w:rsid w:val="00066D40"/>
    <w:rsid w:val="00067F0D"/>
    <w:rsid w:val="00070408"/>
    <w:rsid w:val="000713E8"/>
    <w:rsid w:val="000714DF"/>
    <w:rsid w:val="00071E64"/>
    <w:rsid w:val="000729F4"/>
    <w:rsid w:val="000749FB"/>
    <w:rsid w:val="000761F2"/>
    <w:rsid w:val="000767F3"/>
    <w:rsid w:val="00084781"/>
    <w:rsid w:val="000858A8"/>
    <w:rsid w:val="00085C36"/>
    <w:rsid w:val="000901C2"/>
    <w:rsid w:val="00091529"/>
    <w:rsid w:val="00093D99"/>
    <w:rsid w:val="0009670D"/>
    <w:rsid w:val="00096AB3"/>
    <w:rsid w:val="000A3C87"/>
    <w:rsid w:val="000A4164"/>
    <w:rsid w:val="000A4672"/>
    <w:rsid w:val="000A48A2"/>
    <w:rsid w:val="000A7420"/>
    <w:rsid w:val="000A79DD"/>
    <w:rsid w:val="000B1CE9"/>
    <w:rsid w:val="000B43B8"/>
    <w:rsid w:val="000B4781"/>
    <w:rsid w:val="000B5FDB"/>
    <w:rsid w:val="000B6C65"/>
    <w:rsid w:val="000B7B3D"/>
    <w:rsid w:val="000C2038"/>
    <w:rsid w:val="000C2609"/>
    <w:rsid w:val="000C3C38"/>
    <w:rsid w:val="000C622A"/>
    <w:rsid w:val="000C6AF8"/>
    <w:rsid w:val="000C6B0C"/>
    <w:rsid w:val="000C6B21"/>
    <w:rsid w:val="000C702E"/>
    <w:rsid w:val="000C7DF8"/>
    <w:rsid w:val="000D189B"/>
    <w:rsid w:val="000D2B51"/>
    <w:rsid w:val="000D2C2B"/>
    <w:rsid w:val="000D3F02"/>
    <w:rsid w:val="000D5654"/>
    <w:rsid w:val="000D6290"/>
    <w:rsid w:val="000D6346"/>
    <w:rsid w:val="000D63AE"/>
    <w:rsid w:val="000D70C0"/>
    <w:rsid w:val="000D7345"/>
    <w:rsid w:val="000E0E10"/>
    <w:rsid w:val="000E0E39"/>
    <w:rsid w:val="000E214E"/>
    <w:rsid w:val="000E2E8F"/>
    <w:rsid w:val="000E3696"/>
    <w:rsid w:val="000E3C33"/>
    <w:rsid w:val="000E5323"/>
    <w:rsid w:val="000E534A"/>
    <w:rsid w:val="000E7D2F"/>
    <w:rsid w:val="000F045B"/>
    <w:rsid w:val="000F2385"/>
    <w:rsid w:val="000F2923"/>
    <w:rsid w:val="000F51C7"/>
    <w:rsid w:val="000F54A2"/>
    <w:rsid w:val="000F626A"/>
    <w:rsid w:val="000F62EC"/>
    <w:rsid w:val="00106917"/>
    <w:rsid w:val="00113397"/>
    <w:rsid w:val="00114666"/>
    <w:rsid w:val="0011527B"/>
    <w:rsid w:val="0011669C"/>
    <w:rsid w:val="00121448"/>
    <w:rsid w:val="00122F31"/>
    <w:rsid w:val="001230FC"/>
    <w:rsid w:val="00125E3B"/>
    <w:rsid w:val="0012609C"/>
    <w:rsid w:val="00126520"/>
    <w:rsid w:val="00130780"/>
    <w:rsid w:val="0013201D"/>
    <w:rsid w:val="00132A20"/>
    <w:rsid w:val="0013459D"/>
    <w:rsid w:val="00137895"/>
    <w:rsid w:val="0014002A"/>
    <w:rsid w:val="00140220"/>
    <w:rsid w:val="001411E4"/>
    <w:rsid w:val="00141F8B"/>
    <w:rsid w:val="00142AA9"/>
    <w:rsid w:val="00145DF4"/>
    <w:rsid w:val="00145E1D"/>
    <w:rsid w:val="00145F70"/>
    <w:rsid w:val="001508A5"/>
    <w:rsid w:val="001509A5"/>
    <w:rsid w:val="0015389A"/>
    <w:rsid w:val="00153A3D"/>
    <w:rsid w:val="0015694C"/>
    <w:rsid w:val="00160E8A"/>
    <w:rsid w:val="00160F7A"/>
    <w:rsid w:val="00162C80"/>
    <w:rsid w:val="00163C65"/>
    <w:rsid w:val="001644EB"/>
    <w:rsid w:val="00166782"/>
    <w:rsid w:val="00166911"/>
    <w:rsid w:val="00166EAB"/>
    <w:rsid w:val="00170182"/>
    <w:rsid w:val="00171FC6"/>
    <w:rsid w:val="00175C23"/>
    <w:rsid w:val="0017677B"/>
    <w:rsid w:val="00176C61"/>
    <w:rsid w:val="00180B55"/>
    <w:rsid w:val="00181320"/>
    <w:rsid w:val="00182365"/>
    <w:rsid w:val="00190910"/>
    <w:rsid w:val="00190B5C"/>
    <w:rsid w:val="00192BD7"/>
    <w:rsid w:val="001933CF"/>
    <w:rsid w:val="0019394C"/>
    <w:rsid w:val="00194398"/>
    <w:rsid w:val="00194660"/>
    <w:rsid w:val="0019633C"/>
    <w:rsid w:val="00197446"/>
    <w:rsid w:val="001A0CE8"/>
    <w:rsid w:val="001A280B"/>
    <w:rsid w:val="001A35F7"/>
    <w:rsid w:val="001A368C"/>
    <w:rsid w:val="001A3C53"/>
    <w:rsid w:val="001A3EB5"/>
    <w:rsid w:val="001A3EDE"/>
    <w:rsid w:val="001A7BC4"/>
    <w:rsid w:val="001B1681"/>
    <w:rsid w:val="001B232E"/>
    <w:rsid w:val="001B236F"/>
    <w:rsid w:val="001B5281"/>
    <w:rsid w:val="001B5FA3"/>
    <w:rsid w:val="001B6981"/>
    <w:rsid w:val="001B73EC"/>
    <w:rsid w:val="001B796D"/>
    <w:rsid w:val="001C0AE4"/>
    <w:rsid w:val="001C2C9D"/>
    <w:rsid w:val="001C436D"/>
    <w:rsid w:val="001C43B5"/>
    <w:rsid w:val="001C586A"/>
    <w:rsid w:val="001C637C"/>
    <w:rsid w:val="001C63B3"/>
    <w:rsid w:val="001C69ED"/>
    <w:rsid w:val="001C6D8F"/>
    <w:rsid w:val="001C7F40"/>
    <w:rsid w:val="001D01DF"/>
    <w:rsid w:val="001D1323"/>
    <w:rsid w:val="001D1889"/>
    <w:rsid w:val="001D328C"/>
    <w:rsid w:val="001D6275"/>
    <w:rsid w:val="001D6B23"/>
    <w:rsid w:val="001D735E"/>
    <w:rsid w:val="001D75CD"/>
    <w:rsid w:val="001D7777"/>
    <w:rsid w:val="001D7DB9"/>
    <w:rsid w:val="001E1375"/>
    <w:rsid w:val="001E14DC"/>
    <w:rsid w:val="001E1567"/>
    <w:rsid w:val="001E17C7"/>
    <w:rsid w:val="001E1838"/>
    <w:rsid w:val="001E3E01"/>
    <w:rsid w:val="001E5DD4"/>
    <w:rsid w:val="001E6849"/>
    <w:rsid w:val="001E7EA3"/>
    <w:rsid w:val="001F345D"/>
    <w:rsid w:val="001F46EA"/>
    <w:rsid w:val="001F5290"/>
    <w:rsid w:val="001F5A35"/>
    <w:rsid w:val="001F6064"/>
    <w:rsid w:val="001F6855"/>
    <w:rsid w:val="001F6DA4"/>
    <w:rsid w:val="001F76DB"/>
    <w:rsid w:val="00200EFD"/>
    <w:rsid w:val="002010BC"/>
    <w:rsid w:val="0020136C"/>
    <w:rsid w:val="002045EA"/>
    <w:rsid w:val="00204C4A"/>
    <w:rsid w:val="002052BE"/>
    <w:rsid w:val="00206690"/>
    <w:rsid w:val="00206D50"/>
    <w:rsid w:val="00207544"/>
    <w:rsid w:val="0021006A"/>
    <w:rsid w:val="0021037F"/>
    <w:rsid w:val="002103C1"/>
    <w:rsid w:val="00211866"/>
    <w:rsid w:val="002137BE"/>
    <w:rsid w:val="0021392F"/>
    <w:rsid w:val="002140CF"/>
    <w:rsid w:val="002140D8"/>
    <w:rsid w:val="00214A94"/>
    <w:rsid w:val="00215824"/>
    <w:rsid w:val="002166FA"/>
    <w:rsid w:val="00216C56"/>
    <w:rsid w:val="0021707D"/>
    <w:rsid w:val="00220483"/>
    <w:rsid w:val="0022084D"/>
    <w:rsid w:val="00220DF3"/>
    <w:rsid w:val="002220F6"/>
    <w:rsid w:val="00222EB0"/>
    <w:rsid w:val="0022355D"/>
    <w:rsid w:val="00224040"/>
    <w:rsid w:val="00224147"/>
    <w:rsid w:val="0022439F"/>
    <w:rsid w:val="00226F12"/>
    <w:rsid w:val="0023028B"/>
    <w:rsid w:val="002316B7"/>
    <w:rsid w:val="00235010"/>
    <w:rsid w:val="00236D56"/>
    <w:rsid w:val="00237E75"/>
    <w:rsid w:val="00242448"/>
    <w:rsid w:val="002428FF"/>
    <w:rsid w:val="00242AFD"/>
    <w:rsid w:val="00245352"/>
    <w:rsid w:val="00245F32"/>
    <w:rsid w:val="00247742"/>
    <w:rsid w:val="00251358"/>
    <w:rsid w:val="0025354C"/>
    <w:rsid w:val="00255BCD"/>
    <w:rsid w:val="00256678"/>
    <w:rsid w:val="00257070"/>
    <w:rsid w:val="0026223F"/>
    <w:rsid w:val="0026233C"/>
    <w:rsid w:val="0026342D"/>
    <w:rsid w:val="00264224"/>
    <w:rsid w:val="00264AED"/>
    <w:rsid w:val="00265878"/>
    <w:rsid w:val="00266598"/>
    <w:rsid w:val="002669DB"/>
    <w:rsid w:val="002678DD"/>
    <w:rsid w:val="00267B54"/>
    <w:rsid w:val="00270AF8"/>
    <w:rsid w:val="002715C2"/>
    <w:rsid w:val="00271879"/>
    <w:rsid w:val="00272F56"/>
    <w:rsid w:val="00275090"/>
    <w:rsid w:val="00275130"/>
    <w:rsid w:val="00275970"/>
    <w:rsid w:val="002802D2"/>
    <w:rsid w:val="00281BDD"/>
    <w:rsid w:val="00282903"/>
    <w:rsid w:val="0028300F"/>
    <w:rsid w:val="0028529E"/>
    <w:rsid w:val="00290500"/>
    <w:rsid w:val="0029229C"/>
    <w:rsid w:val="00292AD6"/>
    <w:rsid w:val="00294488"/>
    <w:rsid w:val="00294F1E"/>
    <w:rsid w:val="00295286"/>
    <w:rsid w:val="00295FDC"/>
    <w:rsid w:val="0029604E"/>
    <w:rsid w:val="002963BC"/>
    <w:rsid w:val="00297ED6"/>
    <w:rsid w:val="002A04DB"/>
    <w:rsid w:val="002A05F8"/>
    <w:rsid w:val="002A0EE7"/>
    <w:rsid w:val="002A16AF"/>
    <w:rsid w:val="002A1DED"/>
    <w:rsid w:val="002A1ED7"/>
    <w:rsid w:val="002A30B9"/>
    <w:rsid w:val="002A452E"/>
    <w:rsid w:val="002A53CB"/>
    <w:rsid w:val="002A69F6"/>
    <w:rsid w:val="002A7176"/>
    <w:rsid w:val="002B0E22"/>
    <w:rsid w:val="002B112B"/>
    <w:rsid w:val="002B1400"/>
    <w:rsid w:val="002B190E"/>
    <w:rsid w:val="002B2343"/>
    <w:rsid w:val="002B2777"/>
    <w:rsid w:val="002B3FB4"/>
    <w:rsid w:val="002B7A47"/>
    <w:rsid w:val="002C1113"/>
    <w:rsid w:val="002C293B"/>
    <w:rsid w:val="002C5979"/>
    <w:rsid w:val="002C667B"/>
    <w:rsid w:val="002C79F6"/>
    <w:rsid w:val="002D00D5"/>
    <w:rsid w:val="002D1241"/>
    <w:rsid w:val="002D3AF1"/>
    <w:rsid w:val="002E1618"/>
    <w:rsid w:val="002E3E9F"/>
    <w:rsid w:val="002E5373"/>
    <w:rsid w:val="002E5E4E"/>
    <w:rsid w:val="002E792F"/>
    <w:rsid w:val="002F07E9"/>
    <w:rsid w:val="002F0EDC"/>
    <w:rsid w:val="002F1C37"/>
    <w:rsid w:val="002F7604"/>
    <w:rsid w:val="002F7853"/>
    <w:rsid w:val="002F78BD"/>
    <w:rsid w:val="002F7CF4"/>
    <w:rsid w:val="003001CF"/>
    <w:rsid w:val="003018F7"/>
    <w:rsid w:val="00302648"/>
    <w:rsid w:val="003037C8"/>
    <w:rsid w:val="00304155"/>
    <w:rsid w:val="00306347"/>
    <w:rsid w:val="003102BA"/>
    <w:rsid w:val="00312B2A"/>
    <w:rsid w:val="00313459"/>
    <w:rsid w:val="00314E9E"/>
    <w:rsid w:val="00315C61"/>
    <w:rsid w:val="00315E67"/>
    <w:rsid w:val="00316D18"/>
    <w:rsid w:val="00317A16"/>
    <w:rsid w:val="00321759"/>
    <w:rsid w:val="00323594"/>
    <w:rsid w:val="003247B9"/>
    <w:rsid w:val="00325703"/>
    <w:rsid w:val="003273CB"/>
    <w:rsid w:val="00327FAD"/>
    <w:rsid w:val="00330574"/>
    <w:rsid w:val="003319E3"/>
    <w:rsid w:val="00331F3D"/>
    <w:rsid w:val="00332A67"/>
    <w:rsid w:val="00333F1D"/>
    <w:rsid w:val="00336B22"/>
    <w:rsid w:val="00336D04"/>
    <w:rsid w:val="00336FE1"/>
    <w:rsid w:val="00340685"/>
    <w:rsid w:val="003422A9"/>
    <w:rsid w:val="00342B1E"/>
    <w:rsid w:val="00344572"/>
    <w:rsid w:val="00344BEE"/>
    <w:rsid w:val="00345993"/>
    <w:rsid w:val="00346317"/>
    <w:rsid w:val="00350DEA"/>
    <w:rsid w:val="003530C5"/>
    <w:rsid w:val="003530F1"/>
    <w:rsid w:val="00355240"/>
    <w:rsid w:val="003570D8"/>
    <w:rsid w:val="003579E3"/>
    <w:rsid w:val="00357D61"/>
    <w:rsid w:val="0036009E"/>
    <w:rsid w:val="00360684"/>
    <w:rsid w:val="00360E8E"/>
    <w:rsid w:val="003611A8"/>
    <w:rsid w:val="0036123E"/>
    <w:rsid w:val="003613FA"/>
    <w:rsid w:val="00362113"/>
    <w:rsid w:val="00363066"/>
    <w:rsid w:val="00371B13"/>
    <w:rsid w:val="00372810"/>
    <w:rsid w:val="003770C7"/>
    <w:rsid w:val="0037719B"/>
    <w:rsid w:val="003807CF"/>
    <w:rsid w:val="00380BB0"/>
    <w:rsid w:val="00380D5A"/>
    <w:rsid w:val="00380EB5"/>
    <w:rsid w:val="0038208F"/>
    <w:rsid w:val="003834E8"/>
    <w:rsid w:val="00384420"/>
    <w:rsid w:val="00384C7B"/>
    <w:rsid w:val="0038564B"/>
    <w:rsid w:val="003903E3"/>
    <w:rsid w:val="003913F0"/>
    <w:rsid w:val="00392691"/>
    <w:rsid w:val="00392F1C"/>
    <w:rsid w:val="00394280"/>
    <w:rsid w:val="003958FD"/>
    <w:rsid w:val="00395F25"/>
    <w:rsid w:val="003A09FD"/>
    <w:rsid w:val="003A29DE"/>
    <w:rsid w:val="003A3CA9"/>
    <w:rsid w:val="003A4168"/>
    <w:rsid w:val="003A5412"/>
    <w:rsid w:val="003A54DB"/>
    <w:rsid w:val="003A6062"/>
    <w:rsid w:val="003A7B14"/>
    <w:rsid w:val="003B3200"/>
    <w:rsid w:val="003B32E3"/>
    <w:rsid w:val="003B3D8A"/>
    <w:rsid w:val="003B42C6"/>
    <w:rsid w:val="003B4FE4"/>
    <w:rsid w:val="003C0386"/>
    <w:rsid w:val="003C0792"/>
    <w:rsid w:val="003C089A"/>
    <w:rsid w:val="003C0A11"/>
    <w:rsid w:val="003C0DA0"/>
    <w:rsid w:val="003C3A64"/>
    <w:rsid w:val="003C5813"/>
    <w:rsid w:val="003C5DAC"/>
    <w:rsid w:val="003C6262"/>
    <w:rsid w:val="003C730F"/>
    <w:rsid w:val="003D010F"/>
    <w:rsid w:val="003D3514"/>
    <w:rsid w:val="003D3543"/>
    <w:rsid w:val="003D3ABF"/>
    <w:rsid w:val="003D4146"/>
    <w:rsid w:val="003D5597"/>
    <w:rsid w:val="003D5CA0"/>
    <w:rsid w:val="003D61DD"/>
    <w:rsid w:val="003D6639"/>
    <w:rsid w:val="003D7775"/>
    <w:rsid w:val="003E0FD8"/>
    <w:rsid w:val="003E4469"/>
    <w:rsid w:val="003E5F08"/>
    <w:rsid w:val="003F0225"/>
    <w:rsid w:val="003F4E5F"/>
    <w:rsid w:val="003F5E8A"/>
    <w:rsid w:val="004002C1"/>
    <w:rsid w:val="00401638"/>
    <w:rsid w:val="00401FD1"/>
    <w:rsid w:val="00406782"/>
    <w:rsid w:val="00407B6E"/>
    <w:rsid w:val="00410789"/>
    <w:rsid w:val="00411D13"/>
    <w:rsid w:val="00412BB8"/>
    <w:rsid w:val="004142AD"/>
    <w:rsid w:val="004148F8"/>
    <w:rsid w:val="0041595F"/>
    <w:rsid w:val="00415A2B"/>
    <w:rsid w:val="00415B16"/>
    <w:rsid w:val="0041611E"/>
    <w:rsid w:val="00416796"/>
    <w:rsid w:val="00416C1B"/>
    <w:rsid w:val="00416E30"/>
    <w:rsid w:val="00422B22"/>
    <w:rsid w:val="00422ED4"/>
    <w:rsid w:val="0042331F"/>
    <w:rsid w:val="00423ABB"/>
    <w:rsid w:val="0042580B"/>
    <w:rsid w:val="00426909"/>
    <w:rsid w:val="004271EF"/>
    <w:rsid w:val="00427F96"/>
    <w:rsid w:val="00430559"/>
    <w:rsid w:val="00432138"/>
    <w:rsid w:val="00432546"/>
    <w:rsid w:val="00432DDA"/>
    <w:rsid w:val="00433CAD"/>
    <w:rsid w:val="00436211"/>
    <w:rsid w:val="0044037B"/>
    <w:rsid w:val="004422E1"/>
    <w:rsid w:val="00442BEA"/>
    <w:rsid w:val="00443407"/>
    <w:rsid w:val="00446F3A"/>
    <w:rsid w:val="00451491"/>
    <w:rsid w:val="00452A7D"/>
    <w:rsid w:val="00452C5B"/>
    <w:rsid w:val="004563B2"/>
    <w:rsid w:val="00456D6D"/>
    <w:rsid w:val="00456F24"/>
    <w:rsid w:val="00456FE6"/>
    <w:rsid w:val="004648E5"/>
    <w:rsid w:val="00466CDC"/>
    <w:rsid w:val="004670BA"/>
    <w:rsid w:val="0046736D"/>
    <w:rsid w:val="0047035B"/>
    <w:rsid w:val="004707C9"/>
    <w:rsid w:val="00470995"/>
    <w:rsid w:val="00470DBF"/>
    <w:rsid w:val="00472AA6"/>
    <w:rsid w:val="004730AB"/>
    <w:rsid w:val="004730AE"/>
    <w:rsid w:val="004735E9"/>
    <w:rsid w:val="00473DA3"/>
    <w:rsid w:val="004756FE"/>
    <w:rsid w:val="004757F9"/>
    <w:rsid w:val="00475856"/>
    <w:rsid w:val="0047618E"/>
    <w:rsid w:val="00476FEC"/>
    <w:rsid w:val="00480ADB"/>
    <w:rsid w:val="004813F7"/>
    <w:rsid w:val="00482441"/>
    <w:rsid w:val="00484A69"/>
    <w:rsid w:val="0048562D"/>
    <w:rsid w:val="00486B4A"/>
    <w:rsid w:val="00490890"/>
    <w:rsid w:val="004918FD"/>
    <w:rsid w:val="00493354"/>
    <w:rsid w:val="00497655"/>
    <w:rsid w:val="004A1974"/>
    <w:rsid w:val="004A1B93"/>
    <w:rsid w:val="004A22B3"/>
    <w:rsid w:val="004A276A"/>
    <w:rsid w:val="004A27F8"/>
    <w:rsid w:val="004A4D71"/>
    <w:rsid w:val="004A4E91"/>
    <w:rsid w:val="004A5289"/>
    <w:rsid w:val="004A55B2"/>
    <w:rsid w:val="004A55BD"/>
    <w:rsid w:val="004A5A3E"/>
    <w:rsid w:val="004B00B2"/>
    <w:rsid w:val="004B034D"/>
    <w:rsid w:val="004B05C2"/>
    <w:rsid w:val="004B1AA9"/>
    <w:rsid w:val="004B1AE8"/>
    <w:rsid w:val="004B22A6"/>
    <w:rsid w:val="004B2A16"/>
    <w:rsid w:val="004B353B"/>
    <w:rsid w:val="004B4075"/>
    <w:rsid w:val="004B77ED"/>
    <w:rsid w:val="004C1BB7"/>
    <w:rsid w:val="004C2358"/>
    <w:rsid w:val="004C36BD"/>
    <w:rsid w:val="004C5357"/>
    <w:rsid w:val="004C602E"/>
    <w:rsid w:val="004C6C3F"/>
    <w:rsid w:val="004D0001"/>
    <w:rsid w:val="004D05A4"/>
    <w:rsid w:val="004D1E97"/>
    <w:rsid w:val="004D2B5A"/>
    <w:rsid w:val="004D2FAE"/>
    <w:rsid w:val="004D37D9"/>
    <w:rsid w:val="004D53E2"/>
    <w:rsid w:val="004E045E"/>
    <w:rsid w:val="004E2003"/>
    <w:rsid w:val="004E34B5"/>
    <w:rsid w:val="004E4451"/>
    <w:rsid w:val="004E4AB6"/>
    <w:rsid w:val="004E5B19"/>
    <w:rsid w:val="004E5DDA"/>
    <w:rsid w:val="004E6476"/>
    <w:rsid w:val="004F2EF7"/>
    <w:rsid w:val="004F2FCF"/>
    <w:rsid w:val="004F4E03"/>
    <w:rsid w:val="004F4E3A"/>
    <w:rsid w:val="004F4E6A"/>
    <w:rsid w:val="004F632C"/>
    <w:rsid w:val="004F7014"/>
    <w:rsid w:val="00501FED"/>
    <w:rsid w:val="00502607"/>
    <w:rsid w:val="005033FA"/>
    <w:rsid w:val="0050495F"/>
    <w:rsid w:val="00504D06"/>
    <w:rsid w:val="00505CF1"/>
    <w:rsid w:val="00506344"/>
    <w:rsid w:val="005063E2"/>
    <w:rsid w:val="00507252"/>
    <w:rsid w:val="00507266"/>
    <w:rsid w:val="005075C4"/>
    <w:rsid w:val="00511CF8"/>
    <w:rsid w:val="00517738"/>
    <w:rsid w:val="00517C76"/>
    <w:rsid w:val="00521D36"/>
    <w:rsid w:val="00523D39"/>
    <w:rsid w:val="00525073"/>
    <w:rsid w:val="0052522F"/>
    <w:rsid w:val="00526832"/>
    <w:rsid w:val="005270A6"/>
    <w:rsid w:val="00527BE2"/>
    <w:rsid w:val="00527C67"/>
    <w:rsid w:val="0053488A"/>
    <w:rsid w:val="00534AB0"/>
    <w:rsid w:val="005355AE"/>
    <w:rsid w:val="00541744"/>
    <w:rsid w:val="00544048"/>
    <w:rsid w:val="0054409A"/>
    <w:rsid w:val="00552ABE"/>
    <w:rsid w:val="00553517"/>
    <w:rsid w:val="005537DE"/>
    <w:rsid w:val="005550A0"/>
    <w:rsid w:val="0055528E"/>
    <w:rsid w:val="00555808"/>
    <w:rsid w:val="00555C9A"/>
    <w:rsid w:val="005633B2"/>
    <w:rsid w:val="005645AA"/>
    <w:rsid w:val="005647C1"/>
    <w:rsid w:val="00564F93"/>
    <w:rsid w:val="00566C60"/>
    <w:rsid w:val="00567AB2"/>
    <w:rsid w:val="00567E6D"/>
    <w:rsid w:val="00567FF5"/>
    <w:rsid w:val="00572219"/>
    <w:rsid w:val="0057299E"/>
    <w:rsid w:val="005735B2"/>
    <w:rsid w:val="00575FE2"/>
    <w:rsid w:val="00576111"/>
    <w:rsid w:val="00576598"/>
    <w:rsid w:val="005768CC"/>
    <w:rsid w:val="00576B02"/>
    <w:rsid w:val="00576BF2"/>
    <w:rsid w:val="0058062E"/>
    <w:rsid w:val="00581363"/>
    <w:rsid w:val="005813FC"/>
    <w:rsid w:val="00582E9D"/>
    <w:rsid w:val="005841D1"/>
    <w:rsid w:val="00584AFF"/>
    <w:rsid w:val="00586EDE"/>
    <w:rsid w:val="00586EE6"/>
    <w:rsid w:val="00587BF5"/>
    <w:rsid w:val="0059091B"/>
    <w:rsid w:val="00590FF3"/>
    <w:rsid w:val="00591049"/>
    <w:rsid w:val="00591F92"/>
    <w:rsid w:val="0059296C"/>
    <w:rsid w:val="005935FE"/>
    <w:rsid w:val="00593B26"/>
    <w:rsid w:val="00593EDF"/>
    <w:rsid w:val="00594305"/>
    <w:rsid w:val="00594FC3"/>
    <w:rsid w:val="00595909"/>
    <w:rsid w:val="00595EB6"/>
    <w:rsid w:val="0059677E"/>
    <w:rsid w:val="005A1AB2"/>
    <w:rsid w:val="005A36D7"/>
    <w:rsid w:val="005A4698"/>
    <w:rsid w:val="005A5516"/>
    <w:rsid w:val="005A64F6"/>
    <w:rsid w:val="005B030E"/>
    <w:rsid w:val="005B0E4B"/>
    <w:rsid w:val="005B0FCD"/>
    <w:rsid w:val="005B2CD4"/>
    <w:rsid w:val="005B3681"/>
    <w:rsid w:val="005C053C"/>
    <w:rsid w:val="005C176B"/>
    <w:rsid w:val="005C1965"/>
    <w:rsid w:val="005C31F3"/>
    <w:rsid w:val="005C361D"/>
    <w:rsid w:val="005C3DA5"/>
    <w:rsid w:val="005C5515"/>
    <w:rsid w:val="005C6893"/>
    <w:rsid w:val="005C771F"/>
    <w:rsid w:val="005D06DD"/>
    <w:rsid w:val="005D3C37"/>
    <w:rsid w:val="005D4875"/>
    <w:rsid w:val="005D765C"/>
    <w:rsid w:val="005D78D1"/>
    <w:rsid w:val="005E0312"/>
    <w:rsid w:val="005E2129"/>
    <w:rsid w:val="005E4D94"/>
    <w:rsid w:val="005F01D9"/>
    <w:rsid w:val="005F2796"/>
    <w:rsid w:val="005F4EF1"/>
    <w:rsid w:val="005F6171"/>
    <w:rsid w:val="005F7336"/>
    <w:rsid w:val="005F7C32"/>
    <w:rsid w:val="00601AEE"/>
    <w:rsid w:val="00606B42"/>
    <w:rsid w:val="006073C5"/>
    <w:rsid w:val="00607B3F"/>
    <w:rsid w:val="00610419"/>
    <w:rsid w:val="00611EEE"/>
    <w:rsid w:val="00612373"/>
    <w:rsid w:val="006159DC"/>
    <w:rsid w:val="00615CA2"/>
    <w:rsid w:val="006162DD"/>
    <w:rsid w:val="00616B00"/>
    <w:rsid w:val="00617191"/>
    <w:rsid w:val="00617CF7"/>
    <w:rsid w:val="00621730"/>
    <w:rsid w:val="0062280C"/>
    <w:rsid w:val="006230A9"/>
    <w:rsid w:val="006231AB"/>
    <w:rsid w:val="0062542F"/>
    <w:rsid w:val="006265EB"/>
    <w:rsid w:val="0062703C"/>
    <w:rsid w:val="006275AA"/>
    <w:rsid w:val="00627EBC"/>
    <w:rsid w:val="00630BD9"/>
    <w:rsid w:val="00631FFA"/>
    <w:rsid w:val="006400EF"/>
    <w:rsid w:val="00640E01"/>
    <w:rsid w:val="00640FC0"/>
    <w:rsid w:val="00641C93"/>
    <w:rsid w:val="00642FD9"/>
    <w:rsid w:val="00643053"/>
    <w:rsid w:val="0064596F"/>
    <w:rsid w:val="006461FA"/>
    <w:rsid w:val="00646FA8"/>
    <w:rsid w:val="00647779"/>
    <w:rsid w:val="00647F2E"/>
    <w:rsid w:val="006507D1"/>
    <w:rsid w:val="00652324"/>
    <w:rsid w:val="006526DA"/>
    <w:rsid w:val="00655BFB"/>
    <w:rsid w:val="006568D4"/>
    <w:rsid w:val="0066022F"/>
    <w:rsid w:val="00660332"/>
    <w:rsid w:val="0066095C"/>
    <w:rsid w:val="00662C3F"/>
    <w:rsid w:val="00663278"/>
    <w:rsid w:val="006637B3"/>
    <w:rsid w:val="00665338"/>
    <w:rsid w:val="0066777D"/>
    <w:rsid w:val="006718B7"/>
    <w:rsid w:val="006734B4"/>
    <w:rsid w:val="00674AF6"/>
    <w:rsid w:val="00674C3A"/>
    <w:rsid w:val="00674F34"/>
    <w:rsid w:val="00677696"/>
    <w:rsid w:val="00680191"/>
    <w:rsid w:val="006812CB"/>
    <w:rsid w:val="0068243F"/>
    <w:rsid w:val="00683589"/>
    <w:rsid w:val="00685C1D"/>
    <w:rsid w:val="00687CBB"/>
    <w:rsid w:val="006912AB"/>
    <w:rsid w:val="00697F32"/>
    <w:rsid w:val="006A0687"/>
    <w:rsid w:val="006A0A24"/>
    <w:rsid w:val="006A2A41"/>
    <w:rsid w:val="006A37F9"/>
    <w:rsid w:val="006A3FA4"/>
    <w:rsid w:val="006A5983"/>
    <w:rsid w:val="006A5F5E"/>
    <w:rsid w:val="006A6056"/>
    <w:rsid w:val="006A72DD"/>
    <w:rsid w:val="006A7719"/>
    <w:rsid w:val="006B0914"/>
    <w:rsid w:val="006B0CB0"/>
    <w:rsid w:val="006B2BBC"/>
    <w:rsid w:val="006B402B"/>
    <w:rsid w:val="006B42D1"/>
    <w:rsid w:val="006B52BB"/>
    <w:rsid w:val="006B678E"/>
    <w:rsid w:val="006C10DA"/>
    <w:rsid w:val="006C36C2"/>
    <w:rsid w:val="006C4455"/>
    <w:rsid w:val="006C6213"/>
    <w:rsid w:val="006C6C44"/>
    <w:rsid w:val="006C7961"/>
    <w:rsid w:val="006D0350"/>
    <w:rsid w:val="006D1279"/>
    <w:rsid w:val="006D210F"/>
    <w:rsid w:val="006D2A94"/>
    <w:rsid w:val="006D3E0D"/>
    <w:rsid w:val="006D3FE7"/>
    <w:rsid w:val="006D4CBB"/>
    <w:rsid w:val="006D6265"/>
    <w:rsid w:val="006D7E39"/>
    <w:rsid w:val="006E35BD"/>
    <w:rsid w:val="006E3745"/>
    <w:rsid w:val="006E644B"/>
    <w:rsid w:val="006E65FF"/>
    <w:rsid w:val="006E75A6"/>
    <w:rsid w:val="006E794F"/>
    <w:rsid w:val="006E7A8B"/>
    <w:rsid w:val="006F0ECC"/>
    <w:rsid w:val="006F1165"/>
    <w:rsid w:val="006F2093"/>
    <w:rsid w:val="006F292D"/>
    <w:rsid w:val="006F3067"/>
    <w:rsid w:val="006F42C2"/>
    <w:rsid w:val="006F5B19"/>
    <w:rsid w:val="00700DB7"/>
    <w:rsid w:val="00701690"/>
    <w:rsid w:val="0070368B"/>
    <w:rsid w:val="00703AC4"/>
    <w:rsid w:val="007069BB"/>
    <w:rsid w:val="00711FF0"/>
    <w:rsid w:val="00712141"/>
    <w:rsid w:val="007144F4"/>
    <w:rsid w:val="0071501E"/>
    <w:rsid w:val="007164B9"/>
    <w:rsid w:val="007164FB"/>
    <w:rsid w:val="00721BBA"/>
    <w:rsid w:val="00721D23"/>
    <w:rsid w:val="00721FD5"/>
    <w:rsid w:val="0072376D"/>
    <w:rsid w:val="0072529B"/>
    <w:rsid w:val="00725E29"/>
    <w:rsid w:val="007260CA"/>
    <w:rsid w:val="007303B8"/>
    <w:rsid w:val="00733008"/>
    <w:rsid w:val="007332DE"/>
    <w:rsid w:val="00737AE4"/>
    <w:rsid w:val="00740AAD"/>
    <w:rsid w:val="00742385"/>
    <w:rsid w:val="00743812"/>
    <w:rsid w:val="0074489A"/>
    <w:rsid w:val="00745ADA"/>
    <w:rsid w:val="00746629"/>
    <w:rsid w:val="00747577"/>
    <w:rsid w:val="007517B2"/>
    <w:rsid w:val="0075193E"/>
    <w:rsid w:val="00752483"/>
    <w:rsid w:val="007527F6"/>
    <w:rsid w:val="007534DB"/>
    <w:rsid w:val="00753CF7"/>
    <w:rsid w:val="00754ECE"/>
    <w:rsid w:val="00757405"/>
    <w:rsid w:val="00760E60"/>
    <w:rsid w:val="0076159F"/>
    <w:rsid w:val="00762376"/>
    <w:rsid w:val="00764F3C"/>
    <w:rsid w:val="00766BBE"/>
    <w:rsid w:val="007702AF"/>
    <w:rsid w:val="00770632"/>
    <w:rsid w:val="00770B22"/>
    <w:rsid w:val="0077352A"/>
    <w:rsid w:val="00773980"/>
    <w:rsid w:val="007741CD"/>
    <w:rsid w:val="00774A71"/>
    <w:rsid w:val="00774FF8"/>
    <w:rsid w:val="00775F80"/>
    <w:rsid w:val="00775F81"/>
    <w:rsid w:val="00782A04"/>
    <w:rsid w:val="00783238"/>
    <w:rsid w:val="00783418"/>
    <w:rsid w:val="007835AD"/>
    <w:rsid w:val="00787B1F"/>
    <w:rsid w:val="007916DF"/>
    <w:rsid w:val="0079195B"/>
    <w:rsid w:val="007919A3"/>
    <w:rsid w:val="00791C06"/>
    <w:rsid w:val="0079556B"/>
    <w:rsid w:val="007959AF"/>
    <w:rsid w:val="00796335"/>
    <w:rsid w:val="007A00C5"/>
    <w:rsid w:val="007A0E2B"/>
    <w:rsid w:val="007A1B95"/>
    <w:rsid w:val="007A243D"/>
    <w:rsid w:val="007A3691"/>
    <w:rsid w:val="007A46C8"/>
    <w:rsid w:val="007A493E"/>
    <w:rsid w:val="007A4D7E"/>
    <w:rsid w:val="007A61AE"/>
    <w:rsid w:val="007A6CE0"/>
    <w:rsid w:val="007A71C3"/>
    <w:rsid w:val="007A73F1"/>
    <w:rsid w:val="007A7771"/>
    <w:rsid w:val="007A7B33"/>
    <w:rsid w:val="007A7E11"/>
    <w:rsid w:val="007B0A9C"/>
    <w:rsid w:val="007B174C"/>
    <w:rsid w:val="007B1F4F"/>
    <w:rsid w:val="007B244B"/>
    <w:rsid w:val="007B3344"/>
    <w:rsid w:val="007B3D6D"/>
    <w:rsid w:val="007B407E"/>
    <w:rsid w:val="007B4F58"/>
    <w:rsid w:val="007B5B65"/>
    <w:rsid w:val="007C1885"/>
    <w:rsid w:val="007C1BA0"/>
    <w:rsid w:val="007C1C0A"/>
    <w:rsid w:val="007C3278"/>
    <w:rsid w:val="007C3A3B"/>
    <w:rsid w:val="007C4047"/>
    <w:rsid w:val="007C41E1"/>
    <w:rsid w:val="007C4A27"/>
    <w:rsid w:val="007C63C4"/>
    <w:rsid w:val="007C67A8"/>
    <w:rsid w:val="007C6A57"/>
    <w:rsid w:val="007D0499"/>
    <w:rsid w:val="007D4241"/>
    <w:rsid w:val="007D493E"/>
    <w:rsid w:val="007D49BB"/>
    <w:rsid w:val="007D50E5"/>
    <w:rsid w:val="007D5AE9"/>
    <w:rsid w:val="007E01E1"/>
    <w:rsid w:val="007E04A2"/>
    <w:rsid w:val="007E0DD6"/>
    <w:rsid w:val="007E24B1"/>
    <w:rsid w:val="007E25A3"/>
    <w:rsid w:val="007E2840"/>
    <w:rsid w:val="007E4AD3"/>
    <w:rsid w:val="007E7945"/>
    <w:rsid w:val="007E79C9"/>
    <w:rsid w:val="007F104F"/>
    <w:rsid w:val="007F2486"/>
    <w:rsid w:val="007F7679"/>
    <w:rsid w:val="007F796B"/>
    <w:rsid w:val="0080486D"/>
    <w:rsid w:val="00805493"/>
    <w:rsid w:val="008073F7"/>
    <w:rsid w:val="008149ED"/>
    <w:rsid w:val="00814CA8"/>
    <w:rsid w:val="00816B24"/>
    <w:rsid w:val="0082036E"/>
    <w:rsid w:val="008203D2"/>
    <w:rsid w:val="00820AB7"/>
    <w:rsid w:val="0082111A"/>
    <w:rsid w:val="00821D6E"/>
    <w:rsid w:val="00823BB0"/>
    <w:rsid w:val="00826C16"/>
    <w:rsid w:val="0083061C"/>
    <w:rsid w:val="00830995"/>
    <w:rsid w:val="008310EE"/>
    <w:rsid w:val="008322B8"/>
    <w:rsid w:val="00832878"/>
    <w:rsid w:val="00832B54"/>
    <w:rsid w:val="00832ECA"/>
    <w:rsid w:val="008339C6"/>
    <w:rsid w:val="008361FB"/>
    <w:rsid w:val="00836356"/>
    <w:rsid w:val="00836DD7"/>
    <w:rsid w:val="008374B1"/>
    <w:rsid w:val="00837A0C"/>
    <w:rsid w:val="00840B80"/>
    <w:rsid w:val="00841C7D"/>
    <w:rsid w:val="00842651"/>
    <w:rsid w:val="00843D0D"/>
    <w:rsid w:val="00845950"/>
    <w:rsid w:val="008517AE"/>
    <w:rsid w:val="00851896"/>
    <w:rsid w:val="0085205A"/>
    <w:rsid w:val="00852839"/>
    <w:rsid w:val="00854165"/>
    <w:rsid w:val="0085583E"/>
    <w:rsid w:val="00855EB9"/>
    <w:rsid w:val="00856446"/>
    <w:rsid w:val="008565DA"/>
    <w:rsid w:val="00856BE7"/>
    <w:rsid w:val="00856E45"/>
    <w:rsid w:val="008573EE"/>
    <w:rsid w:val="00857730"/>
    <w:rsid w:val="00857C9F"/>
    <w:rsid w:val="00860505"/>
    <w:rsid w:val="00860B75"/>
    <w:rsid w:val="00862091"/>
    <w:rsid w:val="00862B68"/>
    <w:rsid w:val="0086411B"/>
    <w:rsid w:val="0086516D"/>
    <w:rsid w:val="0086665C"/>
    <w:rsid w:val="008710F2"/>
    <w:rsid w:val="00874887"/>
    <w:rsid w:val="00875631"/>
    <w:rsid w:val="00875F96"/>
    <w:rsid w:val="008767A9"/>
    <w:rsid w:val="00876998"/>
    <w:rsid w:val="00876A75"/>
    <w:rsid w:val="0087741D"/>
    <w:rsid w:val="00882B46"/>
    <w:rsid w:val="00883F82"/>
    <w:rsid w:val="00885D0A"/>
    <w:rsid w:val="00891775"/>
    <w:rsid w:val="00891951"/>
    <w:rsid w:val="0089281F"/>
    <w:rsid w:val="0089368F"/>
    <w:rsid w:val="00894063"/>
    <w:rsid w:val="00894DA4"/>
    <w:rsid w:val="00895441"/>
    <w:rsid w:val="00896A09"/>
    <w:rsid w:val="0089775F"/>
    <w:rsid w:val="00897AE2"/>
    <w:rsid w:val="008A0A05"/>
    <w:rsid w:val="008A1198"/>
    <w:rsid w:val="008A16C7"/>
    <w:rsid w:val="008A1FC1"/>
    <w:rsid w:val="008A2069"/>
    <w:rsid w:val="008A31AB"/>
    <w:rsid w:val="008A3431"/>
    <w:rsid w:val="008A37BF"/>
    <w:rsid w:val="008A4020"/>
    <w:rsid w:val="008A4953"/>
    <w:rsid w:val="008A4F9A"/>
    <w:rsid w:val="008A64E8"/>
    <w:rsid w:val="008B0970"/>
    <w:rsid w:val="008B11F2"/>
    <w:rsid w:val="008B5BED"/>
    <w:rsid w:val="008B7C55"/>
    <w:rsid w:val="008C0F4D"/>
    <w:rsid w:val="008C0F68"/>
    <w:rsid w:val="008C1D29"/>
    <w:rsid w:val="008C48DA"/>
    <w:rsid w:val="008C5684"/>
    <w:rsid w:val="008C5DFE"/>
    <w:rsid w:val="008C654B"/>
    <w:rsid w:val="008C6BCA"/>
    <w:rsid w:val="008C6E8B"/>
    <w:rsid w:val="008C7550"/>
    <w:rsid w:val="008C7983"/>
    <w:rsid w:val="008C7EB9"/>
    <w:rsid w:val="008C7EC8"/>
    <w:rsid w:val="008D0FFD"/>
    <w:rsid w:val="008D19C7"/>
    <w:rsid w:val="008D1E6B"/>
    <w:rsid w:val="008D1FF5"/>
    <w:rsid w:val="008D36F6"/>
    <w:rsid w:val="008E0C57"/>
    <w:rsid w:val="008E3E48"/>
    <w:rsid w:val="008E3E59"/>
    <w:rsid w:val="008E403C"/>
    <w:rsid w:val="008E46EB"/>
    <w:rsid w:val="008E525D"/>
    <w:rsid w:val="008E5D86"/>
    <w:rsid w:val="008E6156"/>
    <w:rsid w:val="008E6565"/>
    <w:rsid w:val="008F0689"/>
    <w:rsid w:val="008F1868"/>
    <w:rsid w:val="008F21E1"/>
    <w:rsid w:val="008F29F8"/>
    <w:rsid w:val="008F2FEB"/>
    <w:rsid w:val="008F37A9"/>
    <w:rsid w:val="008F3EB1"/>
    <w:rsid w:val="008F45C8"/>
    <w:rsid w:val="008F4AF5"/>
    <w:rsid w:val="008F5EFC"/>
    <w:rsid w:val="00900F59"/>
    <w:rsid w:val="009010D0"/>
    <w:rsid w:val="00905209"/>
    <w:rsid w:val="00905624"/>
    <w:rsid w:val="0090597F"/>
    <w:rsid w:val="009127E4"/>
    <w:rsid w:val="00912D37"/>
    <w:rsid w:val="009144A2"/>
    <w:rsid w:val="00915305"/>
    <w:rsid w:val="0091584A"/>
    <w:rsid w:val="00915BDF"/>
    <w:rsid w:val="00917804"/>
    <w:rsid w:val="00920BFE"/>
    <w:rsid w:val="009216B0"/>
    <w:rsid w:val="009220AD"/>
    <w:rsid w:val="0092390C"/>
    <w:rsid w:val="00923EAB"/>
    <w:rsid w:val="00924F1A"/>
    <w:rsid w:val="00924FA4"/>
    <w:rsid w:val="00925447"/>
    <w:rsid w:val="00925D10"/>
    <w:rsid w:val="00925FAE"/>
    <w:rsid w:val="009275E5"/>
    <w:rsid w:val="0093094B"/>
    <w:rsid w:val="009312AE"/>
    <w:rsid w:val="00931BDB"/>
    <w:rsid w:val="00932605"/>
    <w:rsid w:val="00932D1D"/>
    <w:rsid w:val="00933535"/>
    <w:rsid w:val="009343FB"/>
    <w:rsid w:val="00935F67"/>
    <w:rsid w:val="00935FDB"/>
    <w:rsid w:val="0093693A"/>
    <w:rsid w:val="00937477"/>
    <w:rsid w:val="00937A22"/>
    <w:rsid w:val="00940C90"/>
    <w:rsid w:val="0094338D"/>
    <w:rsid w:val="0094342A"/>
    <w:rsid w:val="00944A1B"/>
    <w:rsid w:val="0095298A"/>
    <w:rsid w:val="00952FF8"/>
    <w:rsid w:val="0095359D"/>
    <w:rsid w:val="009565C1"/>
    <w:rsid w:val="00960845"/>
    <w:rsid w:val="009608AB"/>
    <w:rsid w:val="00960CBA"/>
    <w:rsid w:val="00963119"/>
    <w:rsid w:val="009636F2"/>
    <w:rsid w:val="00963F82"/>
    <w:rsid w:val="009645A2"/>
    <w:rsid w:val="009671F5"/>
    <w:rsid w:val="009677B5"/>
    <w:rsid w:val="00967A48"/>
    <w:rsid w:val="00971B4F"/>
    <w:rsid w:val="00971E73"/>
    <w:rsid w:val="0097307D"/>
    <w:rsid w:val="009738C6"/>
    <w:rsid w:val="00974996"/>
    <w:rsid w:val="009766D9"/>
    <w:rsid w:val="00976D3F"/>
    <w:rsid w:val="009778FB"/>
    <w:rsid w:val="0098484C"/>
    <w:rsid w:val="00990553"/>
    <w:rsid w:val="00991F30"/>
    <w:rsid w:val="0099578F"/>
    <w:rsid w:val="009A0002"/>
    <w:rsid w:val="009A0286"/>
    <w:rsid w:val="009A17CF"/>
    <w:rsid w:val="009A2369"/>
    <w:rsid w:val="009A3207"/>
    <w:rsid w:val="009A326B"/>
    <w:rsid w:val="009A5FAA"/>
    <w:rsid w:val="009B0912"/>
    <w:rsid w:val="009B0B12"/>
    <w:rsid w:val="009B3011"/>
    <w:rsid w:val="009B3AAD"/>
    <w:rsid w:val="009B3F6C"/>
    <w:rsid w:val="009B4213"/>
    <w:rsid w:val="009B51B7"/>
    <w:rsid w:val="009B5ABC"/>
    <w:rsid w:val="009B7ECC"/>
    <w:rsid w:val="009C48DC"/>
    <w:rsid w:val="009C7F74"/>
    <w:rsid w:val="009D07B0"/>
    <w:rsid w:val="009D089F"/>
    <w:rsid w:val="009D15D5"/>
    <w:rsid w:val="009D1802"/>
    <w:rsid w:val="009D3705"/>
    <w:rsid w:val="009D3DCE"/>
    <w:rsid w:val="009E1DFA"/>
    <w:rsid w:val="009E1FEE"/>
    <w:rsid w:val="009E2A91"/>
    <w:rsid w:val="009E32E7"/>
    <w:rsid w:val="009E7151"/>
    <w:rsid w:val="009E7DBD"/>
    <w:rsid w:val="009F1E38"/>
    <w:rsid w:val="009F1E4C"/>
    <w:rsid w:val="009F4DE8"/>
    <w:rsid w:val="009F52B4"/>
    <w:rsid w:val="00A00825"/>
    <w:rsid w:val="00A01204"/>
    <w:rsid w:val="00A03A5F"/>
    <w:rsid w:val="00A03D46"/>
    <w:rsid w:val="00A0508B"/>
    <w:rsid w:val="00A05B28"/>
    <w:rsid w:val="00A06A61"/>
    <w:rsid w:val="00A14577"/>
    <w:rsid w:val="00A14D9B"/>
    <w:rsid w:val="00A14DDA"/>
    <w:rsid w:val="00A15146"/>
    <w:rsid w:val="00A167FB"/>
    <w:rsid w:val="00A21BAC"/>
    <w:rsid w:val="00A23BA5"/>
    <w:rsid w:val="00A26337"/>
    <w:rsid w:val="00A269AC"/>
    <w:rsid w:val="00A26F75"/>
    <w:rsid w:val="00A307AE"/>
    <w:rsid w:val="00A31C9B"/>
    <w:rsid w:val="00A322EF"/>
    <w:rsid w:val="00A335C8"/>
    <w:rsid w:val="00A34CCD"/>
    <w:rsid w:val="00A34E90"/>
    <w:rsid w:val="00A35121"/>
    <w:rsid w:val="00A376C8"/>
    <w:rsid w:val="00A378F3"/>
    <w:rsid w:val="00A41CBD"/>
    <w:rsid w:val="00A43770"/>
    <w:rsid w:val="00A475F1"/>
    <w:rsid w:val="00A47AAA"/>
    <w:rsid w:val="00A51228"/>
    <w:rsid w:val="00A5130D"/>
    <w:rsid w:val="00A51AA8"/>
    <w:rsid w:val="00A54FC1"/>
    <w:rsid w:val="00A55473"/>
    <w:rsid w:val="00A56F21"/>
    <w:rsid w:val="00A607D0"/>
    <w:rsid w:val="00A60EDC"/>
    <w:rsid w:val="00A621AE"/>
    <w:rsid w:val="00A626F0"/>
    <w:rsid w:val="00A62796"/>
    <w:rsid w:val="00A62E0E"/>
    <w:rsid w:val="00A64F69"/>
    <w:rsid w:val="00A6515A"/>
    <w:rsid w:val="00A65D57"/>
    <w:rsid w:val="00A65FE0"/>
    <w:rsid w:val="00A67198"/>
    <w:rsid w:val="00A67FF9"/>
    <w:rsid w:val="00A70862"/>
    <w:rsid w:val="00A70D5A"/>
    <w:rsid w:val="00A71A6C"/>
    <w:rsid w:val="00A72ACD"/>
    <w:rsid w:val="00A72C3A"/>
    <w:rsid w:val="00A72FB9"/>
    <w:rsid w:val="00A741DC"/>
    <w:rsid w:val="00A74D00"/>
    <w:rsid w:val="00A76F43"/>
    <w:rsid w:val="00A80907"/>
    <w:rsid w:val="00A81210"/>
    <w:rsid w:val="00A81B04"/>
    <w:rsid w:val="00A8279C"/>
    <w:rsid w:val="00A82ACC"/>
    <w:rsid w:val="00A83961"/>
    <w:rsid w:val="00A86D2B"/>
    <w:rsid w:val="00A879E4"/>
    <w:rsid w:val="00A87BCF"/>
    <w:rsid w:val="00A91651"/>
    <w:rsid w:val="00A92905"/>
    <w:rsid w:val="00A92E80"/>
    <w:rsid w:val="00A93088"/>
    <w:rsid w:val="00A9318A"/>
    <w:rsid w:val="00A94393"/>
    <w:rsid w:val="00A95E83"/>
    <w:rsid w:val="00A961F2"/>
    <w:rsid w:val="00A9736E"/>
    <w:rsid w:val="00AA037D"/>
    <w:rsid w:val="00AA3A50"/>
    <w:rsid w:val="00AA3EC4"/>
    <w:rsid w:val="00AA5DCF"/>
    <w:rsid w:val="00AB021E"/>
    <w:rsid w:val="00AB08AA"/>
    <w:rsid w:val="00AB1FF0"/>
    <w:rsid w:val="00AB2B4D"/>
    <w:rsid w:val="00AB33DD"/>
    <w:rsid w:val="00AB47D5"/>
    <w:rsid w:val="00AB47DB"/>
    <w:rsid w:val="00AB49AD"/>
    <w:rsid w:val="00AB6040"/>
    <w:rsid w:val="00AB6417"/>
    <w:rsid w:val="00AB6EC4"/>
    <w:rsid w:val="00AB7FE4"/>
    <w:rsid w:val="00AC06CA"/>
    <w:rsid w:val="00AC23E1"/>
    <w:rsid w:val="00AC2503"/>
    <w:rsid w:val="00AD034B"/>
    <w:rsid w:val="00AD4150"/>
    <w:rsid w:val="00AD5CCB"/>
    <w:rsid w:val="00AD644C"/>
    <w:rsid w:val="00AD6B03"/>
    <w:rsid w:val="00AD75A8"/>
    <w:rsid w:val="00AD7ED1"/>
    <w:rsid w:val="00AE165D"/>
    <w:rsid w:val="00AE1C2B"/>
    <w:rsid w:val="00AE34B5"/>
    <w:rsid w:val="00AE37B5"/>
    <w:rsid w:val="00AE4491"/>
    <w:rsid w:val="00AE48FF"/>
    <w:rsid w:val="00AE4AE8"/>
    <w:rsid w:val="00AE593A"/>
    <w:rsid w:val="00AE73E5"/>
    <w:rsid w:val="00AF0302"/>
    <w:rsid w:val="00AF05BC"/>
    <w:rsid w:val="00AF1F6F"/>
    <w:rsid w:val="00AF241B"/>
    <w:rsid w:val="00AF2DFE"/>
    <w:rsid w:val="00AF3B5C"/>
    <w:rsid w:val="00AF4B25"/>
    <w:rsid w:val="00AF515F"/>
    <w:rsid w:val="00B005D1"/>
    <w:rsid w:val="00B010DC"/>
    <w:rsid w:val="00B01B7A"/>
    <w:rsid w:val="00B04492"/>
    <w:rsid w:val="00B1012C"/>
    <w:rsid w:val="00B11856"/>
    <w:rsid w:val="00B14E7C"/>
    <w:rsid w:val="00B1562F"/>
    <w:rsid w:val="00B15AFB"/>
    <w:rsid w:val="00B21660"/>
    <w:rsid w:val="00B21F0D"/>
    <w:rsid w:val="00B22258"/>
    <w:rsid w:val="00B2418F"/>
    <w:rsid w:val="00B2505F"/>
    <w:rsid w:val="00B25152"/>
    <w:rsid w:val="00B25D7F"/>
    <w:rsid w:val="00B25DA1"/>
    <w:rsid w:val="00B3015B"/>
    <w:rsid w:val="00B31AEC"/>
    <w:rsid w:val="00B32CBE"/>
    <w:rsid w:val="00B33937"/>
    <w:rsid w:val="00B363E3"/>
    <w:rsid w:val="00B370B3"/>
    <w:rsid w:val="00B37873"/>
    <w:rsid w:val="00B40EC6"/>
    <w:rsid w:val="00B44189"/>
    <w:rsid w:val="00B45963"/>
    <w:rsid w:val="00B467AD"/>
    <w:rsid w:val="00B46E36"/>
    <w:rsid w:val="00B46EAC"/>
    <w:rsid w:val="00B521BE"/>
    <w:rsid w:val="00B5316B"/>
    <w:rsid w:val="00B54524"/>
    <w:rsid w:val="00B5461D"/>
    <w:rsid w:val="00B54752"/>
    <w:rsid w:val="00B5566A"/>
    <w:rsid w:val="00B55C17"/>
    <w:rsid w:val="00B568CA"/>
    <w:rsid w:val="00B615D8"/>
    <w:rsid w:val="00B618AC"/>
    <w:rsid w:val="00B621AB"/>
    <w:rsid w:val="00B62302"/>
    <w:rsid w:val="00B6232D"/>
    <w:rsid w:val="00B626CE"/>
    <w:rsid w:val="00B64BEB"/>
    <w:rsid w:val="00B64CB4"/>
    <w:rsid w:val="00B6690F"/>
    <w:rsid w:val="00B67B40"/>
    <w:rsid w:val="00B67BCA"/>
    <w:rsid w:val="00B71DEB"/>
    <w:rsid w:val="00B71F9E"/>
    <w:rsid w:val="00B72FA8"/>
    <w:rsid w:val="00B7358B"/>
    <w:rsid w:val="00B7536B"/>
    <w:rsid w:val="00B763A1"/>
    <w:rsid w:val="00B826EB"/>
    <w:rsid w:val="00B84751"/>
    <w:rsid w:val="00B8494A"/>
    <w:rsid w:val="00B870C1"/>
    <w:rsid w:val="00B905EC"/>
    <w:rsid w:val="00B9069B"/>
    <w:rsid w:val="00B91D9C"/>
    <w:rsid w:val="00B92B33"/>
    <w:rsid w:val="00B93A30"/>
    <w:rsid w:val="00B94AB3"/>
    <w:rsid w:val="00B96E42"/>
    <w:rsid w:val="00BA05D5"/>
    <w:rsid w:val="00BA2005"/>
    <w:rsid w:val="00BA28A7"/>
    <w:rsid w:val="00BA3266"/>
    <w:rsid w:val="00BA60DC"/>
    <w:rsid w:val="00BA6B34"/>
    <w:rsid w:val="00BB04EE"/>
    <w:rsid w:val="00BB403C"/>
    <w:rsid w:val="00BB4E1C"/>
    <w:rsid w:val="00BB534F"/>
    <w:rsid w:val="00BB7E67"/>
    <w:rsid w:val="00BC18BD"/>
    <w:rsid w:val="00BC1FCD"/>
    <w:rsid w:val="00BC2533"/>
    <w:rsid w:val="00BC36E9"/>
    <w:rsid w:val="00BC3715"/>
    <w:rsid w:val="00BC5266"/>
    <w:rsid w:val="00BC5BFA"/>
    <w:rsid w:val="00BC67BD"/>
    <w:rsid w:val="00BC6EAF"/>
    <w:rsid w:val="00BD09B6"/>
    <w:rsid w:val="00BD1F5E"/>
    <w:rsid w:val="00BD2187"/>
    <w:rsid w:val="00BD2746"/>
    <w:rsid w:val="00BD2C23"/>
    <w:rsid w:val="00BD32EC"/>
    <w:rsid w:val="00BD376E"/>
    <w:rsid w:val="00BD5308"/>
    <w:rsid w:val="00BD585E"/>
    <w:rsid w:val="00BD675E"/>
    <w:rsid w:val="00BD6FF8"/>
    <w:rsid w:val="00BD74AC"/>
    <w:rsid w:val="00BE2B93"/>
    <w:rsid w:val="00BE3107"/>
    <w:rsid w:val="00BE4897"/>
    <w:rsid w:val="00BE5F12"/>
    <w:rsid w:val="00BE5F7A"/>
    <w:rsid w:val="00BE73AC"/>
    <w:rsid w:val="00BF31F8"/>
    <w:rsid w:val="00BF33BE"/>
    <w:rsid w:val="00BF38D6"/>
    <w:rsid w:val="00BF3C1E"/>
    <w:rsid w:val="00BF3E2A"/>
    <w:rsid w:val="00BF4460"/>
    <w:rsid w:val="00BF522F"/>
    <w:rsid w:val="00BF5967"/>
    <w:rsid w:val="00BF5E3C"/>
    <w:rsid w:val="00BF6395"/>
    <w:rsid w:val="00BF664F"/>
    <w:rsid w:val="00BF6B85"/>
    <w:rsid w:val="00BF7610"/>
    <w:rsid w:val="00C025CF"/>
    <w:rsid w:val="00C02A78"/>
    <w:rsid w:val="00C03838"/>
    <w:rsid w:val="00C046EE"/>
    <w:rsid w:val="00C0530B"/>
    <w:rsid w:val="00C068AF"/>
    <w:rsid w:val="00C10869"/>
    <w:rsid w:val="00C10C4D"/>
    <w:rsid w:val="00C11846"/>
    <w:rsid w:val="00C13F06"/>
    <w:rsid w:val="00C16C53"/>
    <w:rsid w:val="00C17364"/>
    <w:rsid w:val="00C17AA2"/>
    <w:rsid w:val="00C20921"/>
    <w:rsid w:val="00C2092F"/>
    <w:rsid w:val="00C21408"/>
    <w:rsid w:val="00C219A6"/>
    <w:rsid w:val="00C22CAC"/>
    <w:rsid w:val="00C2344D"/>
    <w:rsid w:val="00C24086"/>
    <w:rsid w:val="00C259E3"/>
    <w:rsid w:val="00C27FBF"/>
    <w:rsid w:val="00C313A5"/>
    <w:rsid w:val="00C33CAD"/>
    <w:rsid w:val="00C346EE"/>
    <w:rsid w:val="00C3502E"/>
    <w:rsid w:val="00C40344"/>
    <w:rsid w:val="00C4048E"/>
    <w:rsid w:val="00C40BE1"/>
    <w:rsid w:val="00C4121F"/>
    <w:rsid w:val="00C41547"/>
    <w:rsid w:val="00C41F3F"/>
    <w:rsid w:val="00C436F3"/>
    <w:rsid w:val="00C43896"/>
    <w:rsid w:val="00C4461E"/>
    <w:rsid w:val="00C44B4C"/>
    <w:rsid w:val="00C45EAC"/>
    <w:rsid w:val="00C460EA"/>
    <w:rsid w:val="00C4649B"/>
    <w:rsid w:val="00C46540"/>
    <w:rsid w:val="00C50448"/>
    <w:rsid w:val="00C5060F"/>
    <w:rsid w:val="00C506EA"/>
    <w:rsid w:val="00C512E0"/>
    <w:rsid w:val="00C51825"/>
    <w:rsid w:val="00C52073"/>
    <w:rsid w:val="00C52331"/>
    <w:rsid w:val="00C609E9"/>
    <w:rsid w:val="00C61B0B"/>
    <w:rsid w:val="00C61F68"/>
    <w:rsid w:val="00C62314"/>
    <w:rsid w:val="00C633D2"/>
    <w:rsid w:val="00C63AE6"/>
    <w:rsid w:val="00C700EA"/>
    <w:rsid w:val="00C74178"/>
    <w:rsid w:val="00C75028"/>
    <w:rsid w:val="00C81540"/>
    <w:rsid w:val="00C81BA6"/>
    <w:rsid w:val="00C820D0"/>
    <w:rsid w:val="00C86332"/>
    <w:rsid w:val="00C86C66"/>
    <w:rsid w:val="00C90238"/>
    <w:rsid w:val="00C91605"/>
    <w:rsid w:val="00C92A4B"/>
    <w:rsid w:val="00C9346F"/>
    <w:rsid w:val="00C93652"/>
    <w:rsid w:val="00C94455"/>
    <w:rsid w:val="00C9497A"/>
    <w:rsid w:val="00C94C33"/>
    <w:rsid w:val="00C957C9"/>
    <w:rsid w:val="00C9630F"/>
    <w:rsid w:val="00C963C8"/>
    <w:rsid w:val="00CA03B8"/>
    <w:rsid w:val="00CA0828"/>
    <w:rsid w:val="00CA102E"/>
    <w:rsid w:val="00CA40B0"/>
    <w:rsid w:val="00CA6D37"/>
    <w:rsid w:val="00CB271C"/>
    <w:rsid w:val="00CB2D6D"/>
    <w:rsid w:val="00CB2E29"/>
    <w:rsid w:val="00CB3596"/>
    <w:rsid w:val="00CB40FF"/>
    <w:rsid w:val="00CB4639"/>
    <w:rsid w:val="00CB4FA8"/>
    <w:rsid w:val="00CB7034"/>
    <w:rsid w:val="00CC14CA"/>
    <w:rsid w:val="00CC1892"/>
    <w:rsid w:val="00CC28B5"/>
    <w:rsid w:val="00CC2A6A"/>
    <w:rsid w:val="00CC2B6F"/>
    <w:rsid w:val="00CC41B9"/>
    <w:rsid w:val="00CC6BF9"/>
    <w:rsid w:val="00CD05B6"/>
    <w:rsid w:val="00CD1289"/>
    <w:rsid w:val="00CD1563"/>
    <w:rsid w:val="00CD215C"/>
    <w:rsid w:val="00CD2B45"/>
    <w:rsid w:val="00CD30CA"/>
    <w:rsid w:val="00CD4451"/>
    <w:rsid w:val="00CD4F44"/>
    <w:rsid w:val="00CD5423"/>
    <w:rsid w:val="00CD6589"/>
    <w:rsid w:val="00CD766D"/>
    <w:rsid w:val="00CD7D8D"/>
    <w:rsid w:val="00CE07F2"/>
    <w:rsid w:val="00CE21FB"/>
    <w:rsid w:val="00CE2DB9"/>
    <w:rsid w:val="00CE3AB1"/>
    <w:rsid w:val="00CE4C45"/>
    <w:rsid w:val="00CE70F4"/>
    <w:rsid w:val="00CF3694"/>
    <w:rsid w:val="00CF4BFB"/>
    <w:rsid w:val="00CF5511"/>
    <w:rsid w:val="00CF64DE"/>
    <w:rsid w:val="00D003A7"/>
    <w:rsid w:val="00D01BBC"/>
    <w:rsid w:val="00D04A3B"/>
    <w:rsid w:val="00D0591C"/>
    <w:rsid w:val="00D059C4"/>
    <w:rsid w:val="00D067F1"/>
    <w:rsid w:val="00D06CD4"/>
    <w:rsid w:val="00D10662"/>
    <w:rsid w:val="00D10CDB"/>
    <w:rsid w:val="00D149EA"/>
    <w:rsid w:val="00D17447"/>
    <w:rsid w:val="00D17BCF"/>
    <w:rsid w:val="00D2106F"/>
    <w:rsid w:val="00D266AA"/>
    <w:rsid w:val="00D2753C"/>
    <w:rsid w:val="00D30DE8"/>
    <w:rsid w:val="00D31737"/>
    <w:rsid w:val="00D317CE"/>
    <w:rsid w:val="00D3260C"/>
    <w:rsid w:val="00D32E49"/>
    <w:rsid w:val="00D32EB9"/>
    <w:rsid w:val="00D35C13"/>
    <w:rsid w:val="00D36772"/>
    <w:rsid w:val="00D3709F"/>
    <w:rsid w:val="00D37FDF"/>
    <w:rsid w:val="00D44201"/>
    <w:rsid w:val="00D449A0"/>
    <w:rsid w:val="00D45301"/>
    <w:rsid w:val="00D458C9"/>
    <w:rsid w:val="00D46D0A"/>
    <w:rsid w:val="00D51B3F"/>
    <w:rsid w:val="00D55B7B"/>
    <w:rsid w:val="00D55EE6"/>
    <w:rsid w:val="00D56306"/>
    <w:rsid w:val="00D57352"/>
    <w:rsid w:val="00D613D8"/>
    <w:rsid w:val="00D6272F"/>
    <w:rsid w:val="00D629FE"/>
    <w:rsid w:val="00D64930"/>
    <w:rsid w:val="00D6531C"/>
    <w:rsid w:val="00D654C0"/>
    <w:rsid w:val="00D66062"/>
    <w:rsid w:val="00D670CB"/>
    <w:rsid w:val="00D70611"/>
    <w:rsid w:val="00D71EB8"/>
    <w:rsid w:val="00D729CA"/>
    <w:rsid w:val="00D72A74"/>
    <w:rsid w:val="00D7510F"/>
    <w:rsid w:val="00D76291"/>
    <w:rsid w:val="00D80C4C"/>
    <w:rsid w:val="00D821D8"/>
    <w:rsid w:val="00D82C34"/>
    <w:rsid w:val="00D83C6D"/>
    <w:rsid w:val="00D83E69"/>
    <w:rsid w:val="00D8420E"/>
    <w:rsid w:val="00D84428"/>
    <w:rsid w:val="00D852CF"/>
    <w:rsid w:val="00D856F4"/>
    <w:rsid w:val="00D856F8"/>
    <w:rsid w:val="00D87744"/>
    <w:rsid w:val="00D9153C"/>
    <w:rsid w:val="00D93A82"/>
    <w:rsid w:val="00D93A98"/>
    <w:rsid w:val="00D93FF7"/>
    <w:rsid w:val="00D941AB"/>
    <w:rsid w:val="00D94DF6"/>
    <w:rsid w:val="00D960DF"/>
    <w:rsid w:val="00D96E18"/>
    <w:rsid w:val="00D9789E"/>
    <w:rsid w:val="00D97E6F"/>
    <w:rsid w:val="00DA00D5"/>
    <w:rsid w:val="00DA0622"/>
    <w:rsid w:val="00DA0667"/>
    <w:rsid w:val="00DA0EB1"/>
    <w:rsid w:val="00DA105E"/>
    <w:rsid w:val="00DA1465"/>
    <w:rsid w:val="00DA1609"/>
    <w:rsid w:val="00DA21F5"/>
    <w:rsid w:val="00DA35B9"/>
    <w:rsid w:val="00DA478B"/>
    <w:rsid w:val="00DA4A04"/>
    <w:rsid w:val="00DB09F4"/>
    <w:rsid w:val="00DB1E63"/>
    <w:rsid w:val="00DB2EB6"/>
    <w:rsid w:val="00DB347E"/>
    <w:rsid w:val="00DB58A0"/>
    <w:rsid w:val="00DB58CB"/>
    <w:rsid w:val="00DB69B6"/>
    <w:rsid w:val="00DB7B65"/>
    <w:rsid w:val="00DC1B1D"/>
    <w:rsid w:val="00DC5A62"/>
    <w:rsid w:val="00DC69E4"/>
    <w:rsid w:val="00DD19A5"/>
    <w:rsid w:val="00DD3D7D"/>
    <w:rsid w:val="00DD517B"/>
    <w:rsid w:val="00DD5BEF"/>
    <w:rsid w:val="00DD5EBE"/>
    <w:rsid w:val="00DE0422"/>
    <w:rsid w:val="00DE0530"/>
    <w:rsid w:val="00DE05A3"/>
    <w:rsid w:val="00DE0804"/>
    <w:rsid w:val="00DE088C"/>
    <w:rsid w:val="00DE0DF8"/>
    <w:rsid w:val="00DE168B"/>
    <w:rsid w:val="00DE3C44"/>
    <w:rsid w:val="00DE43AF"/>
    <w:rsid w:val="00DE4C9C"/>
    <w:rsid w:val="00DE7214"/>
    <w:rsid w:val="00DF0E0A"/>
    <w:rsid w:val="00DF1864"/>
    <w:rsid w:val="00DF49FF"/>
    <w:rsid w:val="00DF4C16"/>
    <w:rsid w:val="00DF66B4"/>
    <w:rsid w:val="00DF7206"/>
    <w:rsid w:val="00E024B3"/>
    <w:rsid w:val="00E0443C"/>
    <w:rsid w:val="00E0481E"/>
    <w:rsid w:val="00E06582"/>
    <w:rsid w:val="00E076A9"/>
    <w:rsid w:val="00E13489"/>
    <w:rsid w:val="00E135AD"/>
    <w:rsid w:val="00E14E9B"/>
    <w:rsid w:val="00E15DFA"/>
    <w:rsid w:val="00E16C18"/>
    <w:rsid w:val="00E174A8"/>
    <w:rsid w:val="00E20280"/>
    <w:rsid w:val="00E2248C"/>
    <w:rsid w:val="00E22566"/>
    <w:rsid w:val="00E30C6E"/>
    <w:rsid w:val="00E31A4F"/>
    <w:rsid w:val="00E356F8"/>
    <w:rsid w:val="00E3733F"/>
    <w:rsid w:val="00E375C2"/>
    <w:rsid w:val="00E4144F"/>
    <w:rsid w:val="00E41EFD"/>
    <w:rsid w:val="00E435D2"/>
    <w:rsid w:val="00E44203"/>
    <w:rsid w:val="00E44F19"/>
    <w:rsid w:val="00E4513F"/>
    <w:rsid w:val="00E45FEA"/>
    <w:rsid w:val="00E460EF"/>
    <w:rsid w:val="00E46AC7"/>
    <w:rsid w:val="00E46C01"/>
    <w:rsid w:val="00E47ED6"/>
    <w:rsid w:val="00E51F52"/>
    <w:rsid w:val="00E529E1"/>
    <w:rsid w:val="00E54ED2"/>
    <w:rsid w:val="00E56B85"/>
    <w:rsid w:val="00E60C18"/>
    <w:rsid w:val="00E6122D"/>
    <w:rsid w:val="00E635BE"/>
    <w:rsid w:val="00E6378F"/>
    <w:rsid w:val="00E64996"/>
    <w:rsid w:val="00E64BA0"/>
    <w:rsid w:val="00E67216"/>
    <w:rsid w:val="00E67469"/>
    <w:rsid w:val="00E70704"/>
    <w:rsid w:val="00E71C97"/>
    <w:rsid w:val="00E72D46"/>
    <w:rsid w:val="00E74715"/>
    <w:rsid w:val="00E75662"/>
    <w:rsid w:val="00E7662B"/>
    <w:rsid w:val="00E76B34"/>
    <w:rsid w:val="00E7720F"/>
    <w:rsid w:val="00E81D50"/>
    <w:rsid w:val="00E834CC"/>
    <w:rsid w:val="00E84742"/>
    <w:rsid w:val="00E8643F"/>
    <w:rsid w:val="00E90435"/>
    <w:rsid w:val="00E90D0C"/>
    <w:rsid w:val="00E9287C"/>
    <w:rsid w:val="00E92B24"/>
    <w:rsid w:val="00E92BE7"/>
    <w:rsid w:val="00E9438F"/>
    <w:rsid w:val="00E95C37"/>
    <w:rsid w:val="00E96C3A"/>
    <w:rsid w:val="00E97C0B"/>
    <w:rsid w:val="00E97E09"/>
    <w:rsid w:val="00EA163C"/>
    <w:rsid w:val="00EA1CF8"/>
    <w:rsid w:val="00EA243C"/>
    <w:rsid w:val="00EA2742"/>
    <w:rsid w:val="00EA29CF"/>
    <w:rsid w:val="00EA7143"/>
    <w:rsid w:val="00EB2BC2"/>
    <w:rsid w:val="00EB3433"/>
    <w:rsid w:val="00EB345F"/>
    <w:rsid w:val="00EB40A4"/>
    <w:rsid w:val="00EB79E0"/>
    <w:rsid w:val="00EC00A4"/>
    <w:rsid w:val="00EC0585"/>
    <w:rsid w:val="00EC2B8B"/>
    <w:rsid w:val="00EC3225"/>
    <w:rsid w:val="00EC324D"/>
    <w:rsid w:val="00EC33C3"/>
    <w:rsid w:val="00EC35AD"/>
    <w:rsid w:val="00EC48F5"/>
    <w:rsid w:val="00EC551F"/>
    <w:rsid w:val="00EC5EFB"/>
    <w:rsid w:val="00EC6D45"/>
    <w:rsid w:val="00EC766B"/>
    <w:rsid w:val="00ED0537"/>
    <w:rsid w:val="00ED0C25"/>
    <w:rsid w:val="00ED13D8"/>
    <w:rsid w:val="00ED2697"/>
    <w:rsid w:val="00ED2B2C"/>
    <w:rsid w:val="00ED34F4"/>
    <w:rsid w:val="00ED3B7D"/>
    <w:rsid w:val="00ED41ED"/>
    <w:rsid w:val="00ED4623"/>
    <w:rsid w:val="00ED4689"/>
    <w:rsid w:val="00ED579A"/>
    <w:rsid w:val="00ED59ED"/>
    <w:rsid w:val="00ED6047"/>
    <w:rsid w:val="00ED6521"/>
    <w:rsid w:val="00ED65C3"/>
    <w:rsid w:val="00ED6CFE"/>
    <w:rsid w:val="00ED7A52"/>
    <w:rsid w:val="00EE0384"/>
    <w:rsid w:val="00EE0584"/>
    <w:rsid w:val="00EE06C4"/>
    <w:rsid w:val="00EE24C6"/>
    <w:rsid w:val="00EE31E5"/>
    <w:rsid w:val="00EE3534"/>
    <w:rsid w:val="00EE4EF6"/>
    <w:rsid w:val="00EE568F"/>
    <w:rsid w:val="00EE67AA"/>
    <w:rsid w:val="00EE682F"/>
    <w:rsid w:val="00EE6B56"/>
    <w:rsid w:val="00EE6C60"/>
    <w:rsid w:val="00EE6EBD"/>
    <w:rsid w:val="00EE788D"/>
    <w:rsid w:val="00EE7911"/>
    <w:rsid w:val="00EF0D4A"/>
    <w:rsid w:val="00EF1454"/>
    <w:rsid w:val="00EF2CE5"/>
    <w:rsid w:val="00EF3886"/>
    <w:rsid w:val="00EF7852"/>
    <w:rsid w:val="00F010BE"/>
    <w:rsid w:val="00F01547"/>
    <w:rsid w:val="00F016F6"/>
    <w:rsid w:val="00F0218B"/>
    <w:rsid w:val="00F02309"/>
    <w:rsid w:val="00F03126"/>
    <w:rsid w:val="00F051E3"/>
    <w:rsid w:val="00F11B1B"/>
    <w:rsid w:val="00F121C4"/>
    <w:rsid w:val="00F1262F"/>
    <w:rsid w:val="00F15096"/>
    <w:rsid w:val="00F15134"/>
    <w:rsid w:val="00F15758"/>
    <w:rsid w:val="00F17245"/>
    <w:rsid w:val="00F17425"/>
    <w:rsid w:val="00F206BB"/>
    <w:rsid w:val="00F20AE0"/>
    <w:rsid w:val="00F21D33"/>
    <w:rsid w:val="00F22A55"/>
    <w:rsid w:val="00F23101"/>
    <w:rsid w:val="00F26226"/>
    <w:rsid w:val="00F26537"/>
    <w:rsid w:val="00F27FB2"/>
    <w:rsid w:val="00F30799"/>
    <w:rsid w:val="00F32897"/>
    <w:rsid w:val="00F32D25"/>
    <w:rsid w:val="00F341A9"/>
    <w:rsid w:val="00F35434"/>
    <w:rsid w:val="00F35873"/>
    <w:rsid w:val="00F36B44"/>
    <w:rsid w:val="00F4194E"/>
    <w:rsid w:val="00F427E7"/>
    <w:rsid w:val="00F44932"/>
    <w:rsid w:val="00F44A22"/>
    <w:rsid w:val="00F4630A"/>
    <w:rsid w:val="00F46CA7"/>
    <w:rsid w:val="00F47746"/>
    <w:rsid w:val="00F47B00"/>
    <w:rsid w:val="00F47D50"/>
    <w:rsid w:val="00F52CC4"/>
    <w:rsid w:val="00F53B51"/>
    <w:rsid w:val="00F54212"/>
    <w:rsid w:val="00F56975"/>
    <w:rsid w:val="00F56DB0"/>
    <w:rsid w:val="00F60282"/>
    <w:rsid w:val="00F654FA"/>
    <w:rsid w:val="00F66E71"/>
    <w:rsid w:val="00F67769"/>
    <w:rsid w:val="00F67AF9"/>
    <w:rsid w:val="00F7023B"/>
    <w:rsid w:val="00F7348A"/>
    <w:rsid w:val="00F73653"/>
    <w:rsid w:val="00F758DF"/>
    <w:rsid w:val="00F76DF5"/>
    <w:rsid w:val="00F7733F"/>
    <w:rsid w:val="00F81A1F"/>
    <w:rsid w:val="00F82061"/>
    <w:rsid w:val="00F8276B"/>
    <w:rsid w:val="00F82C7D"/>
    <w:rsid w:val="00F83DEC"/>
    <w:rsid w:val="00F85A25"/>
    <w:rsid w:val="00F85BAC"/>
    <w:rsid w:val="00F87669"/>
    <w:rsid w:val="00F87913"/>
    <w:rsid w:val="00F90088"/>
    <w:rsid w:val="00F91D59"/>
    <w:rsid w:val="00F92D15"/>
    <w:rsid w:val="00F92DC1"/>
    <w:rsid w:val="00F93083"/>
    <w:rsid w:val="00F93C6E"/>
    <w:rsid w:val="00F95BF4"/>
    <w:rsid w:val="00F97404"/>
    <w:rsid w:val="00FA043E"/>
    <w:rsid w:val="00FA10F8"/>
    <w:rsid w:val="00FA1E25"/>
    <w:rsid w:val="00FA1F6D"/>
    <w:rsid w:val="00FA3857"/>
    <w:rsid w:val="00FA3B5D"/>
    <w:rsid w:val="00FA45C2"/>
    <w:rsid w:val="00FA599C"/>
    <w:rsid w:val="00FA7966"/>
    <w:rsid w:val="00FB2049"/>
    <w:rsid w:val="00FB287B"/>
    <w:rsid w:val="00FB2CCC"/>
    <w:rsid w:val="00FB30B9"/>
    <w:rsid w:val="00FB45D2"/>
    <w:rsid w:val="00FB50D8"/>
    <w:rsid w:val="00FB59EB"/>
    <w:rsid w:val="00FB6857"/>
    <w:rsid w:val="00FB7547"/>
    <w:rsid w:val="00FC02D5"/>
    <w:rsid w:val="00FC0A73"/>
    <w:rsid w:val="00FC12A9"/>
    <w:rsid w:val="00FC246C"/>
    <w:rsid w:val="00FC2E38"/>
    <w:rsid w:val="00FC3414"/>
    <w:rsid w:val="00FC42E0"/>
    <w:rsid w:val="00FC4DF3"/>
    <w:rsid w:val="00FC5561"/>
    <w:rsid w:val="00FC5672"/>
    <w:rsid w:val="00FC5835"/>
    <w:rsid w:val="00FC5F2B"/>
    <w:rsid w:val="00FC6196"/>
    <w:rsid w:val="00FC68C8"/>
    <w:rsid w:val="00FC6FFC"/>
    <w:rsid w:val="00FC70AE"/>
    <w:rsid w:val="00FC729F"/>
    <w:rsid w:val="00FD0E83"/>
    <w:rsid w:val="00FD18F1"/>
    <w:rsid w:val="00FD1F6A"/>
    <w:rsid w:val="00FD2509"/>
    <w:rsid w:val="00FD25F5"/>
    <w:rsid w:val="00FD371D"/>
    <w:rsid w:val="00FD3A28"/>
    <w:rsid w:val="00FD423B"/>
    <w:rsid w:val="00FD5F7F"/>
    <w:rsid w:val="00FD67EC"/>
    <w:rsid w:val="00FE0C99"/>
    <w:rsid w:val="00FE0FC6"/>
    <w:rsid w:val="00FE3688"/>
    <w:rsid w:val="00FE5C93"/>
    <w:rsid w:val="00FE5EF8"/>
    <w:rsid w:val="00FF4347"/>
    <w:rsid w:val="00FF43E0"/>
    <w:rsid w:val="00FF464C"/>
    <w:rsid w:val="00FF4C39"/>
    <w:rsid w:val="00FF5560"/>
    <w:rsid w:val="019E71BD"/>
    <w:rsid w:val="03B73106"/>
    <w:rsid w:val="041C42DA"/>
    <w:rsid w:val="04B679C3"/>
    <w:rsid w:val="05F07036"/>
    <w:rsid w:val="064E7294"/>
    <w:rsid w:val="06E00104"/>
    <w:rsid w:val="080F63D8"/>
    <w:rsid w:val="09341458"/>
    <w:rsid w:val="098254C2"/>
    <w:rsid w:val="0A766EDE"/>
    <w:rsid w:val="0AD64BE8"/>
    <w:rsid w:val="0B0912D7"/>
    <w:rsid w:val="0C425FB0"/>
    <w:rsid w:val="0E025194"/>
    <w:rsid w:val="0F303700"/>
    <w:rsid w:val="152D2DCA"/>
    <w:rsid w:val="15D5325E"/>
    <w:rsid w:val="187168EA"/>
    <w:rsid w:val="196673CA"/>
    <w:rsid w:val="1B2F4AEE"/>
    <w:rsid w:val="1B836E76"/>
    <w:rsid w:val="1C3B5737"/>
    <w:rsid w:val="1CF734C9"/>
    <w:rsid w:val="1D5561CE"/>
    <w:rsid w:val="1DBB659C"/>
    <w:rsid w:val="1DEC284C"/>
    <w:rsid w:val="1E4142AB"/>
    <w:rsid w:val="1E6523AC"/>
    <w:rsid w:val="22440422"/>
    <w:rsid w:val="22BB4BBB"/>
    <w:rsid w:val="25DE7970"/>
    <w:rsid w:val="2AEB3417"/>
    <w:rsid w:val="2D502E74"/>
    <w:rsid w:val="2FCFA8A7"/>
    <w:rsid w:val="31A15F24"/>
    <w:rsid w:val="324A1681"/>
    <w:rsid w:val="35A10974"/>
    <w:rsid w:val="36FB1DF0"/>
    <w:rsid w:val="395347B5"/>
    <w:rsid w:val="39A232A0"/>
    <w:rsid w:val="39E745AA"/>
    <w:rsid w:val="3B5A6BBB"/>
    <w:rsid w:val="3BBF56E6"/>
    <w:rsid w:val="3E2E249C"/>
    <w:rsid w:val="3EDA13A6"/>
    <w:rsid w:val="3FEFCB34"/>
    <w:rsid w:val="40B57ACB"/>
    <w:rsid w:val="412A200A"/>
    <w:rsid w:val="417B75E9"/>
    <w:rsid w:val="42F058B7"/>
    <w:rsid w:val="42F334A6"/>
    <w:rsid w:val="434C7328"/>
    <w:rsid w:val="436109F6"/>
    <w:rsid w:val="441A38D4"/>
    <w:rsid w:val="4504239D"/>
    <w:rsid w:val="450B05EB"/>
    <w:rsid w:val="484C61E3"/>
    <w:rsid w:val="4BC77339"/>
    <w:rsid w:val="4C9236C5"/>
    <w:rsid w:val="4E250A85"/>
    <w:rsid w:val="4FFD4925"/>
    <w:rsid w:val="505C172E"/>
    <w:rsid w:val="506405EA"/>
    <w:rsid w:val="50827473"/>
    <w:rsid w:val="52443849"/>
    <w:rsid w:val="52511493"/>
    <w:rsid w:val="52F46F0B"/>
    <w:rsid w:val="532B6A10"/>
    <w:rsid w:val="53D8014D"/>
    <w:rsid w:val="55003B4B"/>
    <w:rsid w:val="55E064E0"/>
    <w:rsid w:val="572C6D10"/>
    <w:rsid w:val="595F0EF6"/>
    <w:rsid w:val="5B8BFDCF"/>
    <w:rsid w:val="5DC34279"/>
    <w:rsid w:val="5FC73B37"/>
    <w:rsid w:val="5FCD688E"/>
    <w:rsid w:val="5FF9BDAA"/>
    <w:rsid w:val="5FFE5333"/>
    <w:rsid w:val="603161C9"/>
    <w:rsid w:val="608816D1"/>
    <w:rsid w:val="60EF4E7F"/>
    <w:rsid w:val="648B0A32"/>
    <w:rsid w:val="665233C1"/>
    <w:rsid w:val="67EF92C6"/>
    <w:rsid w:val="69AC0D42"/>
    <w:rsid w:val="6AD9688B"/>
    <w:rsid w:val="6D0E3F22"/>
    <w:rsid w:val="72BA9EB1"/>
    <w:rsid w:val="744E4660"/>
    <w:rsid w:val="753355A2"/>
    <w:rsid w:val="759F1C61"/>
    <w:rsid w:val="769F2DE8"/>
    <w:rsid w:val="76FDEB7C"/>
    <w:rsid w:val="78AE27FE"/>
    <w:rsid w:val="79C65162"/>
    <w:rsid w:val="7C41577F"/>
    <w:rsid w:val="7C9011D9"/>
    <w:rsid w:val="7D344903"/>
    <w:rsid w:val="7DC651C5"/>
    <w:rsid w:val="7DF350ED"/>
    <w:rsid w:val="7E0BB431"/>
    <w:rsid w:val="7F9DA0E8"/>
    <w:rsid w:val="7FAF8B8C"/>
    <w:rsid w:val="7FCC2834"/>
    <w:rsid w:val="7FF6A4EF"/>
    <w:rsid w:val="8EFF89E4"/>
    <w:rsid w:val="92DD1CEF"/>
    <w:rsid w:val="BE7F76F2"/>
    <w:rsid w:val="BEF75D9D"/>
    <w:rsid w:val="CE3BD139"/>
    <w:rsid w:val="DFDFC069"/>
    <w:rsid w:val="F05B4F69"/>
    <w:rsid w:val="F7EF4EA4"/>
    <w:rsid w:val="F97D9566"/>
    <w:rsid w:val="FDA94DD7"/>
    <w:rsid w:val="FDFF411C"/>
    <w:rsid w:val="FECC31BD"/>
    <w:rsid w:val="FEFF5C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adjustRightInd w:val="0"/>
      <w:spacing w:line="312" w:lineRule="atLeast"/>
      <w:jc w:val="both"/>
      <w:textAlignment w:val="baseline"/>
    </w:pPr>
    <w:rPr>
      <w:rFonts w:ascii="Times New Roman" w:hAnsi="Times New Roman" w:eastAsia="方正仿宋_GBK" w:cs="Times New Roman"/>
      <w:sz w:val="32"/>
      <w:szCs w:val="32"/>
      <w:lang w:val="en-US" w:eastAsia="zh-CN" w:bidi="ar-SA"/>
    </w:rPr>
  </w:style>
  <w:style w:type="paragraph" w:styleId="2">
    <w:name w:val="heading 4"/>
    <w:basedOn w:val="1"/>
    <w:next w:val="1"/>
    <w:uiPriority w:val="0"/>
    <w:pPr>
      <w:keepNext/>
      <w:keepLines/>
      <w:spacing w:before="280" w:after="290" w:line="372" w:lineRule="auto"/>
      <w:outlineLvl w:val="3"/>
    </w:pPr>
    <w:rPr>
      <w:rFonts w:ascii="Arial" w:hAnsi="Arial" w:eastAsia="黑体"/>
      <w:b/>
      <w:sz w:val="28"/>
    </w:rPr>
  </w:style>
  <w:style w:type="character" w:default="1" w:styleId="15">
    <w:name w:val="Default Paragraph Font"/>
    <w:link w:val="16"/>
    <w:semiHidden/>
    <w:uiPriority w:val="0"/>
    <w:rPr>
      <w:rFonts w:ascii="Calibri" w:hAnsi="Calibri"/>
      <w:szCs w:val="24"/>
    </w:rPr>
  </w:style>
  <w:style w:type="table" w:default="1" w:styleId="14">
    <w:name w:val="Normal Table"/>
    <w:semiHidden/>
    <w:uiPriority w:val="0"/>
    <w:tblPr>
      <w:tblCellMar>
        <w:top w:w="0" w:type="dxa"/>
        <w:left w:w="108" w:type="dxa"/>
        <w:bottom w:w="0" w:type="dxa"/>
        <w:right w:w="108" w:type="dxa"/>
      </w:tblCellMar>
    </w:tblPr>
  </w:style>
  <w:style w:type="paragraph" w:styleId="3">
    <w:name w:val="annotation text"/>
    <w:basedOn w:val="1"/>
    <w:uiPriority w:val="0"/>
    <w:pPr>
      <w:jc w:val="left"/>
    </w:pPr>
  </w:style>
  <w:style w:type="paragraph" w:styleId="4">
    <w:name w:val="Body Text"/>
    <w:basedOn w:val="1"/>
    <w:next w:val="5"/>
    <w:link w:val="21"/>
    <w:uiPriority w:val="0"/>
    <w:pPr>
      <w:spacing w:afterLines="0" w:afterAutospacing="0"/>
    </w:pPr>
  </w:style>
  <w:style w:type="paragraph" w:styleId="5">
    <w:name w:val="index 7"/>
    <w:basedOn w:val="1"/>
    <w:next w:val="1"/>
    <w:uiPriority w:val="0"/>
    <w:pPr>
      <w:adjustRightInd/>
      <w:spacing w:line="240" w:lineRule="auto"/>
      <w:ind w:left="1200" w:leftChars="1200"/>
      <w:textAlignment w:val="auto"/>
    </w:pPr>
    <w:rPr>
      <w:kern w:val="2"/>
      <w:szCs w:val="20"/>
    </w:rPr>
  </w:style>
  <w:style w:type="paragraph" w:styleId="6">
    <w:name w:val="Body Text Indent"/>
    <w:basedOn w:val="1"/>
    <w:link w:val="22"/>
    <w:uiPriority w:val="0"/>
    <w:pPr>
      <w:adjustRightInd/>
      <w:spacing w:after="120" w:line="240" w:lineRule="auto"/>
      <w:ind w:left="420" w:leftChars="200"/>
      <w:textAlignment w:val="auto"/>
    </w:pPr>
    <w:rPr>
      <w:rFonts w:ascii="Calibri" w:hAnsi="Calibri" w:eastAsia="宋体" w:cs="Times New Roman"/>
      <w:kern w:val="2"/>
      <w:sz w:val="21"/>
      <w:szCs w:val="24"/>
    </w:rPr>
  </w:style>
  <w:style w:type="paragraph" w:styleId="7">
    <w:name w:val="Plain Text"/>
    <w:basedOn w:val="1"/>
    <w:link w:val="23"/>
    <w:uiPriority w:val="0"/>
    <w:pPr>
      <w:widowControl/>
      <w:adjustRightInd/>
      <w:spacing w:line="600" w:lineRule="exact"/>
      <w:ind w:firstLine="200" w:firstLineChars="200"/>
      <w:textAlignment w:val="auto"/>
    </w:pPr>
    <w:rPr>
      <w:rFonts w:ascii="宋体" w:hAnsi="Courier New" w:cs="Courier New"/>
      <w:kern w:val="0"/>
      <w:szCs w:val="21"/>
    </w:rPr>
  </w:style>
  <w:style w:type="paragraph" w:styleId="8">
    <w:name w:val="Date"/>
    <w:basedOn w:val="1"/>
    <w:next w:val="1"/>
    <w:link w:val="24"/>
    <w:uiPriority w:val="0"/>
    <w:pPr>
      <w:adjustRightInd/>
      <w:spacing w:line="240" w:lineRule="auto"/>
      <w:ind w:left="100" w:leftChars="2500"/>
      <w:textAlignment w:val="auto"/>
    </w:pPr>
    <w:rPr>
      <w:kern w:val="2"/>
      <w:szCs w:val="20"/>
    </w:rPr>
  </w:style>
  <w:style w:type="paragraph" w:styleId="9">
    <w:name w:val="Balloon Text"/>
    <w:basedOn w:val="1"/>
    <w:semiHidden/>
    <w:uiPriority w:val="0"/>
    <w:pPr>
      <w:adjustRightInd/>
      <w:spacing w:line="240" w:lineRule="auto"/>
      <w:textAlignment w:val="auto"/>
    </w:pPr>
    <w:rPr>
      <w:kern w:val="2"/>
      <w:sz w:val="18"/>
      <w:szCs w:val="18"/>
    </w:rPr>
  </w:style>
  <w:style w:type="paragraph" w:styleId="10">
    <w:name w:val="footer"/>
    <w:basedOn w:val="1"/>
    <w:link w:val="25"/>
    <w:uiPriority w:val="0"/>
    <w:pPr>
      <w:tabs>
        <w:tab w:val="center" w:pos="4153"/>
        <w:tab w:val="right" w:pos="8306"/>
      </w:tabs>
      <w:snapToGrid w:val="0"/>
      <w:jc w:val="left"/>
    </w:pPr>
    <w:rPr>
      <w:sz w:val="18"/>
    </w:rPr>
  </w:style>
  <w:style w:type="paragraph" w:styleId="11">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right"/>
      <w:outlineLvl w:val="9"/>
    </w:pPr>
    <w:rPr>
      <w:sz w:val="28"/>
    </w:rPr>
  </w:style>
  <w:style w:type="paragraph" w:styleId="12">
    <w:name w:val="Normal (Web)"/>
    <w:basedOn w:val="1"/>
    <w:uiPriority w:val="0"/>
    <w:pPr>
      <w:spacing w:before="100" w:beforeAutospacing="1" w:after="100" w:afterAutospacing="1"/>
      <w:ind w:left="0" w:right="0"/>
      <w:jc w:val="left"/>
    </w:pPr>
    <w:rPr>
      <w:kern w:val="0"/>
      <w:sz w:val="24"/>
      <w:lang w:val="en-US" w:eastAsia="zh-CN" w:bidi="ar"/>
    </w:rPr>
  </w:style>
  <w:style w:type="paragraph" w:styleId="13">
    <w:name w:val="Body Text First Indent"/>
    <w:basedOn w:val="4"/>
    <w:uiPriority w:val="0"/>
    <w:pPr>
      <w:spacing w:after="160"/>
      <w:ind w:firstLine="420" w:firstLineChars="100"/>
    </w:pPr>
  </w:style>
  <w:style w:type="paragraph" w:customStyle="1" w:styleId="16">
    <w:name w:val="默认段落字体 Para Char Char Char Char Char Char Char Char Char Char Char Char"/>
    <w:basedOn w:val="1"/>
    <w:link w:val="15"/>
    <w:qFormat/>
    <w:uiPriority w:val="0"/>
    <w:pPr>
      <w:tabs>
        <w:tab w:val="right" w:pos="-2120"/>
      </w:tabs>
      <w:snapToGrid w:val="0"/>
    </w:pPr>
    <w:rPr>
      <w:rFonts w:ascii="Calibri" w:hAnsi="Calibri"/>
      <w:szCs w:val="24"/>
    </w:rPr>
  </w:style>
  <w:style w:type="character" w:styleId="17">
    <w:name w:val="Strong"/>
    <w:basedOn w:val="15"/>
    <w:uiPriority w:val="0"/>
    <w:rPr>
      <w:b/>
      <w:bCs/>
    </w:rPr>
  </w:style>
  <w:style w:type="character" w:styleId="18">
    <w:name w:val="page number"/>
    <w:basedOn w:val="15"/>
    <w:uiPriority w:val="0"/>
  </w:style>
  <w:style w:type="paragraph" w:customStyle="1" w:styleId="19">
    <w:name w:val="Normal (Web)"/>
    <w:basedOn w:val="1"/>
    <w:qFormat/>
    <w:uiPriority w:val="0"/>
    <w:pPr>
      <w:jc w:val="left"/>
    </w:pPr>
    <w:rPr>
      <w:rFonts w:ascii="Calibri" w:hAnsi="Calibri"/>
      <w:kern w:val="0"/>
      <w:sz w:val="24"/>
      <w:szCs w:val="24"/>
    </w:rPr>
  </w:style>
  <w:style w:type="paragraph" w:customStyle="1" w:styleId="20">
    <w:name w:val="p0"/>
    <w:basedOn w:val="1"/>
    <w:qFormat/>
    <w:uiPriority w:val="0"/>
    <w:pPr>
      <w:widowControl/>
    </w:pPr>
    <w:rPr>
      <w:rFonts w:ascii="Calibri" w:hAnsi="Calibri" w:eastAsia="宋体" w:cs="宋体"/>
      <w:kern w:val="0"/>
      <w:szCs w:val="32"/>
    </w:rPr>
  </w:style>
  <w:style w:type="character" w:customStyle="1" w:styleId="21">
    <w:name w:val="正文文本 Char"/>
    <w:link w:val="4"/>
    <w:uiPriority w:val="0"/>
    <w:rPr>
      <w:rFonts w:ascii="Times New Roman" w:hAnsi="Times New Roman" w:eastAsia="宋体" w:cs="Times New Roman"/>
    </w:rPr>
  </w:style>
  <w:style w:type="character" w:customStyle="1" w:styleId="22">
    <w:name w:val="正文文本缩进 Char"/>
    <w:link w:val="6"/>
    <w:uiPriority w:val="0"/>
    <w:rPr>
      <w:rFonts w:ascii="Calibri" w:hAnsi="Calibri" w:eastAsia="宋体" w:cs="Times New Roman"/>
      <w:sz w:val="21"/>
      <w:szCs w:val="24"/>
    </w:rPr>
  </w:style>
  <w:style w:type="character" w:customStyle="1" w:styleId="23">
    <w:name w:val="纯文本 Char"/>
    <w:link w:val="7"/>
    <w:uiPriority w:val="0"/>
    <w:rPr>
      <w:rFonts w:ascii="宋体" w:hAnsi="Courier New" w:eastAsia="宋体" w:cs="Courier New"/>
      <w:kern w:val="0"/>
      <w:szCs w:val="21"/>
    </w:rPr>
  </w:style>
  <w:style w:type="character" w:customStyle="1" w:styleId="24">
    <w:name w:val="日期 Char"/>
    <w:link w:val="8"/>
    <w:uiPriority w:val="0"/>
    <w:rPr>
      <w:rFonts w:ascii="Times New Roman" w:hAnsi="Times New Roman" w:eastAsia="宋体" w:cs="Times New Roman"/>
    </w:rPr>
  </w:style>
  <w:style w:type="character" w:customStyle="1" w:styleId="25">
    <w:name w:val="页脚 Char"/>
    <w:link w:val="10"/>
    <w:uiPriority w:val="99"/>
    <w:rPr>
      <w:rFonts w:ascii="Times New Roman" w:hAnsi="Times New Roman" w:eastAsia="宋体" w:cs="Times New Roman"/>
      <w:sz w:val="18"/>
    </w:rPr>
  </w:style>
  <w:style w:type="character" w:customStyle="1" w:styleId="26">
    <w:name w:val="font41"/>
    <w:uiPriority w:val="0"/>
    <w:rPr>
      <w:rFonts w:hint="default" w:ascii="Algerian" w:hAnsi="Algerian" w:eastAsia="Algerian" w:cs="Algerian"/>
      <w:color w:val="333333"/>
      <w:sz w:val="21"/>
      <w:szCs w:val="21"/>
      <w:u w:val="none"/>
    </w:rPr>
  </w:style>
  <w:style w:type="character" w:customStyle="1" w:styleId="27">
    <w:name w:val="font51"/>
    <w:uiPriority w:val="0"/>
    <w:rPr>
      <w:rFonts w:hint="default" w:ascii="Times New Roman" w:hAnsi="Times New Roman" w:eastAsia="宋体" w:cs="Times New Roman"/>
      <w:color w:val="000000"/>
      <w:sz w:val="24"/>
      <w:szCs w:val="24"/>
      <w:u w:val="none"/>
    </w:rPr>
  </w:style>
  <w:style w:type="paragraph" w:styleId="28">
    <w:name w:val="List Paragraph"/>
    <w:basedOn w:val="1"/>
    <w:qFormat/>
    <w:uiPriority w:val="99"/>
    <w:pPr>
      <w:adjustRightInd/>
      <w:spacing w:line="240" w:lineRule="auto"/>
      <w:ind w:firstLine="420" w:firstLineChars="200"/>
      <w:textAlignment w:val="auto"/>
    </w:pPr>
    <w:rPr>
      <w:rFonts w:ascii="等线" w:hAnsi="等线" w:eastAsia="等线"/>
      <w:kern w:val="2"/>
      <w:sz w:val="21"/>
      <w:szCs w:val="22"/>
    </w:rPr>
  </w:style>
  <w:style w:type="paragraph" w:customStyle="1" w:styleId="29">
    <w:name w:val="列出段落1"/>
    <w:basedOn w:val="1"/>
    <w:qFormat/>
    <w:uiPriority w:val="34"/>
    <w:pPr>
      <w:adjustRightInd/>
      <w:spacing w:line="240" w:lineRule="auto"/>
      <w:ind w:firstLine="420" w:firstLineChars="200"/>
      <w:textAlignment w:val="auto"/>
    </w:pPr>
    <w:rPr>
      <w:rFonts w:ascii="等线" w:hAnsi="等线" w:eastAsia="等线"/>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5089</Words>
  <Characters>5141</Characters>
  <Lines>1</Lines>
  <Paragraphs>1</Paragraphs>
  <TotalTime>4</TotalTime>
  <ScaleCrop>false</ScaleCrop>
  <LinksUpToDate>false</LinksUpToDate>
  <CharactersWithSpaces>5141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2021-09-12T02:41:00Z</dcterms:created>
  <dc:creator>t</dc:creator>
  <cp:lastModifiedBy> </cp:lastModifiedBy>
  <cp:lastPrinted>2022-05-13T00:46:00Z</cp:lastPrinted>
  <dcterms:modified xsi:type="dcterms:W3CDTF">2022-12-10T15:18:56Z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D494EF09FF2E42C0BB5BF039E3E7A302</vt:lpwstr>
  </property>
</Properties>
</file>