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hint="eastAsia" w:ascii="方正小标宋_GBK" w:hAnsi="Times New Roman" w:eastAsia="方正小标宋_GBK" w:cs="Times New Roman"/>
          <w:color w:val="000000"/>
          <w:sz w:val="44"/>
          <w:szCs w:val="44"/>
        </w:rPr>
      </w:pPr>
      <w:r>
        <w:rPr>
          <w:rFonts w:hint="eastAsia" w:ascii="方正小标宋_GBK" w:hAnsi="Times New Roman" w:eastAsia="方正小标宋_GBK" w:cs="Times New Roman"/>
          <w:color w:val="000000"/>
          <w:sz w:val="44"/>
          <w:szCs w:val="44"/>
        </w:rPr>
        <w:t>重庆市永川区人民政府办公室</w:t>
      </w:r>
    </w:p>
    <w:p>
      <w:pPr>
        <w:keepNext w:val="0"/>
        <w:keepLines w:val="0"/>
        <w:pageBreakBefore w:val="0"/>
        <w:widowControl w:val="0"/>
        <w:kinsoku/>
        <w:wordWrap/>
        <w:overflowPunct/>
        <w:topLinePunct w:val="0"/>
        <w:autoSpaceDE/>
        <w:autoSpaceDN/>
        <w:bidi w:val="0"/>
        <w:adjustRightInd/>
        <w:snapToGrid w:val="0"/>
        <w:spacing w:line="540" w:lineRule="exact"/>
        <w:jc w:val="center"/>
        <w:textAlignment w:val="auto"/>
        <w:rPr>
          <w:rFonts w:ascii="方正小标宋_GBK" w:hAnsi="Times New Roman" w:eastAsia="方正小标宋_GBK" w:cs="Times New Roman"/>
          <w:color w:val="000000"/>
          <w:sz w:val="44"/>
          <w:szCs w:val="44"/>
        </w:rPr>
      </w:pPr>
      <w:r>
        <w:rPr>
          <w:rFonts w:hint="eastAsia" w:ascii="方正小标宋_GBK" w:hAnsi="Times New Roman" w:eastAsia="方正小标宋_GBK" w:cs="Times New Roman"/>
          <w:color w:val="000000"/>
          <w:sz w:val="44"/>
          <w:szCs w:val="44"/>
        </w:rPr>
        <w:t>关于推进农村教育闲置资产盘活利用的通知</w:t>
      </w:r>
    </w:p>
    <w:p>
      <w:pPr>
        <w:keepNext w:val="0"/>
        <w:keepLines w:val="0"/>
        <w:pageBreakBefore w:val="0"/>
        <w:widowControl w:val="0"/>
        <w:kinsoku/>
        <w:wordWrap/>
        <w:overflowPunct/>
        <w:topLinePunct w:val="0"/>
        <w:autoSpaceDE/>
        <w:autoSpaceDN/>
        <w:bidi w:val="0"/>
        <w:adjustRightInd/>
        <w:spacing w:line="540" w:lineRule="exact"/>
        <w:jc w:val="center"/>
        <w:textAlignment w:val="auto"/>
        <w:rPr>
          <w:rFonts w:hint="eastAsia" w:ascii="Times New Roman" w:hAnsi="Times New Roman" w:eastAsia="方正楷体_GBK" w:cs="Times New Roman"/>
        </w:rPr>
      </w:pPr>
      <w:r>
        <w:rPr>
          <w:rFonts w:hint="eastAsia" w:ascii="Times New Roman" w:hAnsi="Times New Roman" w:cs="Times New Roman"/>
        </w:rPr>
        <w:t>永川府办发〔2015〕9号</w:t>
      </w:r>
    </w:p>
    <w:p>
      <w:pPr>
        <w:snapToGrid w:val="0"/>
        <w:spacing w:line="594" w:lineRule="exact"/>
        <w:ind w:firstLine="640"/>
        <w:rPr>
          <w:rFonts w:ascii="方正仿宋_GBK" w:hAnsi="Times New Roman" w:cs="Times New Roman"/>
          <w:szCs w:val="32"/>
        </w:rPr>
      </w:pP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ascii="方正仿宋_GBK" w:hAnsi="Times New Roman" w:cs="Times New Roman"/>
          <w:szCs w:val="32"/>
        </w:rPr>
      </w:pPr>
      <w:r>
        <w:rPr>
          <w:rFonts w:hint="eastAsia" w:ascii="方正仿宋_GBK" w:hAnsi="Times New Roman" w:cs="Times New Roman"/>
          <w:szCs w:val="32"/>
        </w:rPr>
        <w:t>各镇人民政府、街道办事处，区政府有关部门，有关单位：</w:t>
      </w:r>
    </w:p>
    <w:p>
      <w:pPr>
        <w:keepNext w:val="0"/>
        <w:keepLines w:val="0"/>
        <w:pageBreakBefore w:val="0"/>
        <w:widowControl w:val="0"/>
        <w:kinsoku/>
        <w:wordWrap/>
        <w:overflowPunct/>
        <w:topLinePunct w:val="0"/>
        <w:autoSpaceDE/>
        <w:autoSpaceDN/>
        <w:bidi w:val="0"/>
        <w:adjustRightInd/>
        <w:snapToGrid w:val="0"/>
        <w:spacing w:line="600" w:lineRule="exact"/>
        <w:ind w:firstLine="640"/>
        <w:jc w:val="left"/>
        <w:textAlignment w:val="auto"/>
        <w:rPr>
          <w:rFonts w:ascii="方正楷体_GBK" w:hAnsi="??" w:eastAsia="方正楷体_GBK" w:cs="宋体"/>
          <w:color w:val="333333"/>
          <w:kern w:val="0"/>
          <w:szCs w:val="32"/>
        </w:rPr>
      </w:pPr>
      <w:r>
        <w:rPr>
          <w:rFonts w:hint="eastAsia" w:ascii="方正仿宋_GBK" w:hAnsi="Times New Roman" w:cs="Times New Roman"/>
          <w:szCs w:val="32"/>
        </w:rPr>
        <w:t>为盘活利用好我区农村中小学校在布局结构调整中出现的闲置教育资产，根据《重庆市人民政府关于农村教育闲置资产盘活利用的指导意见》（渝府发</w:t>
      </w:r>
      <w:r>
        <w:rPr>
          <w:rFonts w:hint="eastAsia" w:ascii="方正仿宋_GBK" w:hAnsi="宋体" w:cs="Times New Roman"/>
          <w:szCs w:val="32"/>
        </w:rPr>
        <w:t>〔</w:t>
      </w:r>
      <w:r>
        <w:rPr>
          <w:rFonts w:hint="default" w:ascii="Times New Roman" w:hAnsi="Times New Roman" w:cs="Times New Roman"/>
          <w:szCs w:val="32"/>
        </w:rPr>
        <w:t>2014</w:t>
      </w:r>
      <w:r>
        <w:rPr>
          <w:rFonts w:hint="eastAsia" w:ascii="方正仿宋_GBK" w:hAnsi="宋体" w:cs="Times New Roman"/>
          <w:szCs w:val="32"/>
        </w:rPr>
        <w:t>〕</w:t>
      </w:r>
      <w:r>
        <w:rPr>
          <w:rFonts w:hint="default" w:ascii="Times New Roman" w:hAnsi="Times New Roman" w:cs="Times New Roman"/>
          <w:szCs w:val="32"/>
        </w:rPr>
        <w:t>63</w:t>
      </w:r>
      <w:r>
        <w:rPr>
          <w:rFonts w:hint="eastAsia" w:ascii="方正仿宋_GBK" w:hAnsi="宋体" w:cs="Times New Roman"/>
          <w:szCs w:val="32"/>
        </w:rPr>
        <w:t>号</w:t>
      </w:r>
      <w:r>
        <w:rPr>
          <w:rFonts w:hint="eastAsia" w:ascii="方正仿宋_GBK" w:hAnsi="Times New Roman" w:cs="Times New Roman"/>
          <w:szCs w:val="32"/>
        </w:rPr>
        <w:t>）</w:t>
      </w:r>
      <w:r>
        <w:rPr>
          <w:rFonts w:hint="eastAsia" w:ascii="方正仿宋_GBK" w:hAnsi="宋体" w:cs="Times New Roman"/>
          <w:szCs w:val="32"/>
        </w:rPr>
        <w:t>精神，现就农村教育闲置资产盘活利用有关工作通知如下。</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32"/>
        <w:jc w:val="both"/>
        <w:textAlignment w:val="auto"/>
        <w:rPr>
          <w:rFonts w:ascii="方正黑体_GBK" w:eastAsia="方正黑体_GBK" w:cs="Times New Roman"/>
          <w:sz w:val="32"/>
          <w:szCs w:val="32"/>
        </w:rPr>
      </w:pPr>
      <w:r>
        <w:rPr>
          <w:rFonts w:hint="eastAsia" w:ascii="方正黑体_GBK" w:eastAsia="方正黑体_GBK" w:cs="Times New Roman"/>
          <w:sz w:val="32"/>
          <w:szCs w:val="32"/>
        </w:rPr>
        <w:t>一、盘活利用的范围</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32"/>
        <w:jc w:val="both"/>
        <w:textAlignment w:val="auto"/>
        <w:rPr>
          <w:rFonts w:ascii="方正仿宋_GBK" w:eastAsia="方正仿宋_GBK" w:cs="Times New Roman"/>
          <w:sz w:val="32"/>
          <w:szCs w:val="32"/>
        </w:rPr>
      </w:pPr>
      <w:r>
        <w:rPr>
          <w:rFonts w:hint="eastAsia" w:ascii="方正仿宋_GBK" w:eastAsia="方正仿宋_GBK" w:cs="Times New Roman"/>
          <w:sz w:val="32"/>
          <w:szCs w:val="32"/>
        </w:rPr>
        <w:t>在中小学校布局结构调整中被撤并停办的农村校舍校产，包括闲置学校的土地、地上建（构）筑物及附属设施等，全部纳入本次盘活利用范围。</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32"/>
        <w:jc w:val="both"/>
        <w:textAlignment w:val="auto"/>
        <w:rPr>
          <w:rFonts w:ascii="方正黑体_GBK" w:eastAsia="方正黑体_GBK" w:cs="Times New Roman"/>
          <w:sz w:val="32"/>
          <w:szCs w:val="32"/>
        </w:rPr>
      </w:pPr>
      <w:r>
        <w:rPr>
          <w:rFonts w:hint="eastAsia" w:ascii="方正黑体_GBK" w:eastAsia="方正黑体_GBK" w:cs="Times New Roman"/>
          <w:sz w:val="32"/>
          <w:szCs w:val="32"/>
        </w:rPr>
        <w:t>二、盘活利用的原则</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32"/>
        <w:jc w:val="both"/>
        <w:textAlignment w:val="auto"/>
        <w:rPr>
          <w:rFonts w:ascii="方正仿宋_GBK" w:eastAsia="方正仿宋_GBK" w:cs="Times New Roman"/>
          <w:sz w:val="32"/>
          <w:szCs w:val="32"/>
        </w:rPr>
      </w:pPr>
      <w:r>
        <w:rPr>
          <w:rFonts w:hint="eastAsia" w:ascii="方正仿宋_GBK" w:eastAsia="方正仿宋_GBK" w:cs="Times New Roman"/>
          <w:sz w:val="32"/>
          <w:szCs w:val="32"/>
        </w:rPr>
        <w:t>坚持明确产权归属、依法依规处置、分类盘活利用、收益向村组基层倾斜和属地实施等原则。</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32"/>
        <w:jc w:val="both"/>
        <w:textAlignment w:val="auto"/>
        <w:rPr>
          <w:rFonts w:ascii="方正黑体_GBK" w:eastAsia="方正黑体_GBK" w:cs="Times New Roman"/>
          <w:sz w:val="32"/>
          <w:szCs w:val="32"/>
        </w:rPr>
      </w:pPr>
      <w:r>
        <w:rPr>
          <w:rFonts w:hint="eastAsia" w:ascii="方正黑体_GBK" w:eastAsia="方正黑体_GBK" w:cs="Times New Roman"/>
          <w:sz w:val="32"/>
          <w:szCs w:val="32"/>
        </w:rPr>
        <w:t>三、开展盘活利用的方式</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32"/>
        <w:jc w:val="both"/>
        <w:textAlignment w:val="auto"/>
        <w:rPr>
          <w:rFonts w:ascii="方正仿宋_GBK" w:eastAsia="方正仿宋_GBK" w:cs="Times New Roman"/>
          <w:sz w:val="32"/>
          <w:szCs w:val="32"/>
        </w:rPr>
      </w:pPr>
      <w:r>
        <w:rPr>
          <w:rFonts w:hint="eastAsia" w:ascii="方正仿宋_GBK" w:eastAsia="方正仿宋_GBK" w:cs="Times New Roman"/>
          <w:sz w:val="32"/>
          <w:szCs w:val="32"/>
        </w:rPr>
        <w:t>在符合土地利用总体规划、城乡总体规划、教育发展规划、土地用途管制的前提下，农村教育闲置资产应当按照区位条件和使用价值，实施分类盘活利用，主要用于农村集体经济组织发展。</w:t>
      </w:r>
      <w:r>
        <w:rPr>
          <w:rFonts w:ascii="方正仿宋_GBK" w:eastAsia="方正仿宋_GBK" w:cs="Times New Roman"/>
          <w:sz w:val="32"/>
          <w:szCs w:val="32"/>
        </w:rPr>
        <w:t xml:space="preserve"> </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32"/>
        <w:jc w:val="both"/>
        <w:textAlignment w:val="auto"/>
        <w:rPr>
          <w:rFonts w:ascii="方正仿宋_GBK" w:eastAsia="方正仿宋_GBK" w:cs="Times New Roman"/>
          <w:sz w:val="32"/>
          <w:szCs w:val="32"/>
        </w:rPr>
      </w:pPr>
      <w:r>
        <w:rPr>
          <w:rFonts w:hint="eastAsia" w:ascii="方正楷体_GBK" w:eastAsia="方正楷体_GBK" w:cs="Times New Roman"/>
          <w:sz w:val="32"/>
          <w:szCs w:val="32"/>
        </w:rPr>
        <w:t>（一）合理利用。</w:t>
      </w:r>
      <w:r>
        <w:rPr>
          <w:rFonts w:hint="eastAsia" w:ascii="方正仿宋_GBK" w:eastAsia="方正仿宋_GBK" w:cs="Times New Roman"/>
          <w:sz w:val="32"/>
          <w:szCs w:val="32"/>
        </w:rPr>
        <w:t>对房屋质量较好、地理区位条件较好的闲置校舍，可继续保留用于农村学前教育、医疗卫生、五保供养等公益事业。闲置校地可优先用于农民新村、高山生态扶贫搬迁和养老、医疗等公益事业建设，可通过流转、入股等方式用于发展集体经济和兴办农产品加工企业。</w:t>
      </w:r>
      <w:r>
        <w:rPr>
          <w:rFonts w:ascii="方正仿宋_GBK" w:eastAsia="方正仿宋_GBK" w:cs="Times New Roman"/>
          <w:sz w:val="32"/>
          <w:szCs w:val="32"/>
        </w:rPr>
        <w:t xml:space="preserve"> </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32"/>
        <w:jc w:val="both"/>
        <w:textAlignment w:val="auto"/>
        <w:rPr>
          <w:rFonts w:ascii="方正仿宋_GBK" w:eastAsia="方正仿宋_GBK" w:cs="Times New Roman"/>
          <w:sz w:val="32"/>
          <w:szCs w:val="32"/>
        </w:rPr>
      </w:pPr>
      <w:r>
        <w:rPr>
          <w:rFonts w:hint="eastAsia" w:ascii="方正楷体_GBK" w:eastAsia="方正楷体_GBK" w:cs="Times New Roman"/>
          <w:sz w:val="32"/>
          <w:szCs w:val="32"/>
        </w:rPr>
        <w:t>（二）出租出售。</w:t>
      </w:r>
      <w:r>
        <w:rPr>
          <w:rFonts w:hint="eastAsia" w:ascii="方正仿宋_GBK" w:eastAsia="方正仿宋_GBK" w:cs="Times New Roman"/>
          <w:sz w:val="32"/>
          <w:szCs w:val="32"/>
        </w:rPr>
        <w:t>对不需要保留用于农村公益事业发展的闲置学校，可出租或出售处置。按照有关法律法规和政策可以出售的，纳入重庆农村土地交易所等公共交易平台公开、竞价出售。</w:t>
      </w:r>
      <w:r>
        <w:rPr>
          <w:rFonts w:ascii="方正仿宋_GBK" w:eastAsia="方正仿宋_GBK" w:cs="Times New Roman"/>
          <w:sz w:val="32"/>
          <w:szCs w:val="32"/>
        </w:rPr>
        <w:t xml:space="preserve"> </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32"/>
        <w:jc w:val="both"/>
        <w:textAlignment w:val="auto"/>
        <w:rPr>
          <w:rFonts w:ascii="方正仿宋_GBK" w:eastAsia="方正仿宋_GBK" w:cs="Times New Roman"/>
          <w:sz w:val="32"/>
          <w:szCs w:val="32"/>
        </w:rPr>
      </w:pPr>
      <w:r>
        <w:rPr>
          <w:rFonts w:hint="eastAsia" w:ascii="方正楷体_GBK" w:eastAsia="方正楷体_GBK" w:cs="Times New Roman"/>
          <w:sz w:val="32"/>
          <w:szCs w:val="32"/>
        </w:rPr>
        <w:t>（三）复垦处置。</w:t>
      </w:r>
      <w:r>
        <w:rPr>
          <w:rFonts w:hint="eastAsia" w:ascii="方正仿宋_GBK" w:eastAsia="方正仿宋_GBK" w:cs="Times New Roman"/>
          <w:sz w:val="32"/>
          <w:szCs w:val="32"/>
        </w:rPr>
        <w:t>对土地利用总体规划允许建设区和有条件建设区外的闲置学校，可通过农村建设用地复垦、“地票”交易和城乡建设用地增减挂钩等政策进行处置。复垦后形成的农用地，由当地农村集体经济组织管护利用。</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32"/>
        <w:jc w:val="both"/>
        <w:textAlignment w:val="auto"/>
        <w:rPr>
          <w:rFonts w:ascii="方正黑体_GBK" w:eastAsia="方正黑体_GBK" w:cs="Times New Roman"/>
          <w:sz w:val="32"/>
          <w:szCs w:val="32"/>
        </w:rPr>
      </w:pPr>
      <w:r>
        <w:rPr>
          <w:rFonts w:hint="eastAsia" w:ascii="方正黑体_GBK" w:eastAsia="方正黑体_GBK" w:cs="Times New Roman"/>
          <w:sz w:val="32"/>
          <w:szCs w:val="32"/>
        </w:rPr>
        <w:t>四、开展盘活利用的具体措施</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32"/>
        <w:jc w:val="both"/>
        <w:textAlignment w:val="auto"/>
        <w:rPr>
          <w:rFonts w:ascii="方正楷体_GBK" w:eastAsia="方正楷体_GBK" w:cs="Times New Roman"/>
          <w:sz w:val="32"/>
          <w:szCs w:val="32"/>
        </w:rPr>
      </w:pPr>
      <w:r>
        <w:rPr>
          <w:rFonts w:hint="eastAsia" w:ascii="方正楷体_GBK" w:eastAsia="方正楷体_GBK" w:cs="Times New Roman"/>
          <w:sz w:val="32"/>
          <w:szCs w:val="32"/>
        </w:rPr>
        <w:t>（一）主要部门职责分工</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32"/>
        <w:jc w:val="both"/>
        <w:textAlignment w:val="auto"/>
        <w:rPr>
          <w:rFonts w:ascii="方正仿宋_GBK" w:eastAsia="方正仿宋_GBK" w:cs="Times New Roman"/>
          <w:sz w:val="32"/>
          <w:szCs w:val="32"/>
        </w:rPr>
      </w:pPr>
      <w:r>
        <w:rPr>
          <w:rFonts w:ascii="方正仿宋_GBK" w:eastAsia="方正仿宋_GBK" w:cs="Times New Roman"/>
          <w:b/>
          <w:sz w:val="32"/>
          <w:szCs w:val="32"/>
        </w:rPr>
        <w:t>1</w:t>
      </w:r>
      <w:r>
        <w:rPr>
          <w:rFonts w:hint="eastAsia" w:ascii="方正仿宋_GBK" w:eastAsia="方正仿宋_GBK" w:cs="Times New Roman"/>
          <w:b/>
          <w:sz w:val="32"/>
          <w:szCs w:val="32"/>
        </w:rPr>
        <w:t>．区教委：</w:t>
      </w:r>
      <w:r>
        <w:rPr>
          <w:rFonts w:hint="eastAsia" w:ascii="方正仿宋_GBK" w:eastAsia="方正仿宋_GBK" w:cs="Times New Roman"/>
          <w:sz w:val="32"/>
          <w:szCs w:val="32"/>
        </w:rPr>
        <w:t>根据我区中小学教育发展布局规划，确定闲置学校中确需保留办学的校点；做好闲置学校相关数据和信息的统计工作，建立专门的档案资料；按照行政事业单位国有资产管理程序报区财政局审核划转闲置资产，及时核销调整资产账务，及时移交闲置资产；配合区国土房管局、区农委及镇人民政府、街道办事处做好闲置资产权属变更等相关工作；配合区审计局对指导意见出台前已处置获得收益的闲置资产开展收益使用情况审计。</w:t>
      </w:r>
      <w:r>
        <w:rPr>
          <w:rFonts w:ascii="方正仿宋_GBK" w:eastAsia="方正仿宋_GBK" w:cs="Times New Roman"/>
          <w:sz w:val="32"/>
          <w:szCs w:val="32"/>
        </w:rPr>
        <w:t xml:space="preserve"> </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32"/>
        <w:jc w:val="both"/>
        <w:textAlignment w:val="auto"/>
        <w:rPr>
          <w:rFonts w:ascii="方正仿宋_GBK" w:eastAsia="方正仿宋_GBK" w:cs="Times New Roman"/>
          <w:sz w:val="32"/>
          <w:szCs w:val="32"/>
        </w:rPr>
      </w:pPr>
      <w:r>
        <w:rPr>
          <w:rFonts w:ascii="方正仿宋_GBK" w:eastAsia="方正仿宋_GBK" w:cs="Times New Roman"/>
          <w:b/>
          <w:sz w:val="32"/>
          <w:szCs w:val="32"/>
        </w:rPr>
        <w:t>2</w:t>
      </w:r>
      <w:r>
        <w:rPr>
          <w:rFonts w:hint="eastAsia" w:ascii="方正仿宋_GBK" w:eastAsia="方正仿宋_GBK" w:cs="Times New Roman"/>
          <w:b/>
          <w:sz w:val="32"/>
          <w:szCs w:val="32"/>
        </w:rPr>
        <w:t>．区农委：</w:t>
      </w:r>
      <w:r>
        <w:rPr>
          <w:rFonts w:hint="eastAsia" w:ascii="方正仿宋_GBK" w:eastAsia="方正仿宋_GBK" w:cs="Times New Roman"/>
          <w:sz w:val="32"/>
          <w:szCs w:val="32"/>
        </w:rPr>
        <w:t>加强对农村集体资产合理处置和收益使用监管，督促有关镇人民政府、街道办事处与当地农村集体经济组织在本通知下发后，限期内完成国有权属的农村教育闲置资产相关权益转让协议签订等工作，指导有关镇人民政府、街道办事处做好农村教育闲置资产的接收和利用管理。</w:t>
      </w:r>
    </w:p>
    <w:p>
      <w:pPr>
        <w:keepNext w:val="0"/>
        <w:keepLines w:val="0"/>
        <w:pageBreakBefore w:val="0"/>
        <w:widowControl w:val="0"/>
        <w:kinsoku/>
        <w:wordWrap/>
        <w:overflowPunct/>
        <w:topLinePunct w:val="0"/>
        <w:autoSpaceDE/>
        <w:autoSpaceDN/>
        <w:bidi w:val="0"/>
        <w:adjustRightInd/>
        <w:snapToGrid w:val="0"/>
        <w:spacing w:line="600" w:lineRule="exact"/>
        <w:ind w:firstLine="643"/>
        <w:textAlignment w:val="auto"/>
        <w:rPr>
          <w:rFonts w:ascii="方正仿宋_GBK" w:hAnsi="Times New Roman" w:cs="Times New Roman"/>
          <w:szCs w:val="32"/>
        </w:rPr>
      </w:pPr>
      <w:r>
        <w:rPr>
          <w:rFonts w:ascii="方正仿宋_GBK" w:hAnsi="Times New Roman" w:cs="Times New Roman"/>
          <w:b/>
          <w:szCs w:val="32"/>
        </w:rPr>
        <w:t>3</w:t>
      </w:r>
      <w:r>
        <w:rPr>
          <w:rFonts w:hint="eastAsia" w:ascii="方正仿宋_GBK" w:hAnsi="Times New Roman" w:cs="Times New Roman"/>
          <w:b/>
          <w:szCs w:val="32"/>
        </w:rPr>
        <w:t>．区财政局：</w:t>
      </w:r>
      <w:r>
        <w:rPr>
          <w:rFonts w:hint="eastAsia" w:ascii="方正仿宋_GBK" w:hAnsi="Times New Roman" w:cs="Times New Roman"/>
          <w:szCs w:val="32"/>
        </w:rPr>
        <w:t>按照区政府《关于印发重庆市永川区国有资产处置和租赁管理办法的通知》（永川府办发〔</w:t>
      </w:r>
      <w:r>
        <w:rPr>
          <w:rFonts w:hint="default" w:ascii="Times New Roman" w:hAnsi="Times New Roman" w:cs="Times New Roman"/>
          <w:szCs w:val="32"/>
        </w:rPr>
        <w:t>2014</w:t>
      </w:r>
      <w:r>
        <w:rPr>
          <w:rFonts w:hint="eastAsia" w:ascii="方正仿宋_GBK" w:hAnsi="Times New Roman" w:cs="Times New Roman"/>
          <w:szCs w:val="32"/>
        </w:rPr>
        <w:t>〕</w:t>
      </w:r>
      <w:r>
        <w:rPr>
          <w:rFonts w:hint="default" w:ascii="Times New Roman" w:hAnsi="Times New Roman" w:cs="Times New Roman"/>
          <w:szCs w:val="32"/>
        </w:rPr>
        <w:t>2</w:t>
      </w:r>
      <w:r>
        <w:rPr>
          <w:rFonts w:hint="eastAsia" w:ascii="方正仿宋_GBK" w:hAnsi="Times New Roman" w:cs="Times New Roman"/>
          <w:szCs w:val="32"/>
        </w:rPr>
        <w:t>号）要求，及时下达闲置资产处置批复文件，督促单位及时核销和入账。</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32"/>
        <w:jc w:val="both"/>
        <w:textAlignment w:val="auto"/>
        <w:rPr>
          <w:rFonts w:ascii="方正仿宋_GBK" w:eastAsia="方正仿宋_GBK" w:cs="Times New Roman"/>
          <w:sz w:val="32"/>
          <w:szCs w:val="32"/>
        </w:rPr>
      </w:pPr>
      <w:r>
        <w:rPr>
          <w:rFonts w:ascii="方正仿宋_GBK" w:eastAsia="方正仿宋_GBK" w:cs="Times New Roman"/>
          <w:b/>
          <w:sz w:val="32"/>
          <w:szCs w:val="32"/>
        </w:rPr>
        <w:t>4</w:t>
      </w:r>
      <w:r>
        <w:rPr>
          <w:rFonts w:hint="eastAsia" w:ascii="方正仿宋_GBK" w:eastAsia="方正仿宋_GBK" w:cs="Times New Roman"/>
          <w:b/>
          <w:sz w:val="32"/>
          <w:szCs w:val="32"/>
        </w:rPr>
        <w:t>．区审计局：</w:t>
      </w:r>
      <w:r>
        <w:rPr>
          <w:rFonts w:hint="eastAsia" w:ascii="方正仿宋_GBK" w:eastAsia="方正仿宋_GBK" w:cs="Times New Roman"/>
          <w:sz w:val="32"/>
          <w:szCs w:val="32"/>
        </w:rPr>
        <w:t>负责指导意见出台前，对农村教育闲置资产出租、出售、入股、变现等盘活利用所取得的收益组织开展审计，明确收益使用情况，对未按规定使用收益的予以纠正。</w:t>
      </w:r>
      <w:r>
        <w:rPr>
          <w:rFonts w:ascii="方正仿宋_GBK" w:eastAsia="方正仿宋_GBK" w:cs="Times New Roman"/>
          <w:sz w:val="32"/>
          <w:szCs w:val="32"/>
        </w:rPr>
        <w:t xml:space="preserve"> </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32"/>
        <w:jc w:val="both"/>
        <w:textAlignment w:val="auto"/>
        <w:rPr>
          <w:rFonts w:ascii="方正仿宋_GBK" w:eastAsia="方正仿宋_GBK" w:cs="Times New Roman"/>
          <w:sz w:val="32"/>
          <w:szCs w:val="32"/>
        </w:rPr>
      </w:pPr>
      <w:r>
        <w:rPr>
          <w:rFonts w:ascii="方正仿宋_GBK" w:eastAsia="方正仿宋_GBK" w:cs="Times New Roman"/>
          <w:b/>
          <w:sz w:val="32"/>
          <w:szCs w:val="32"/>
        </w:rPr>
        <w:t>5</w:t>
      </w:r>
      <w:r>
        <w:rPr>
          <w:rFonts w:hint="eastAsia" w:ascii="方正仿宋_GBK" w:eastAsia="方正仿宋_GBK" w:cs="Times New Roman"/>
          <w:b/>
          <w:sz w:val="32"/>
          <w:szCs w:val="32"/>
        </w:rPr>
        <w:t>．区国土房管局：</w:t>
      </w:r>
      <w:r>
        <w:rPr>
          <w:rFonts w:hint="eastAsia" w:ascii="方正仿宋_GBK" w:eastAsia="方正仿宋_GBK" w:cs="Times New Roman"/>
          <w:sz w:val="32"/>
          <w:szCs w:val="32"/>
        </w:rPr>
        <w:t>指导区农委及镇人民政府、街道办事处和村组做好产权变更手续办理事宜，做好农村教育闲置资产房地产权办证确权工作，支持开展复垦、“地票”交易等工作。</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32"/>
        <w:jc w:val="both"/>
        <w:textAlignment w:val="auto"/>
        <w:rPr>
          <w:rFonts w:ascii="方正仿宋_GBK" w:eastAsia="方正仿宋_GBK" w:cs="Times New Roman"/>
          <w:sz w:val="32"/>
          <w:szCs w:val="32"/>
        </w:rPr>
      </w:pPr>
      <w:r>
        <w:rPr>
          <w:rFonts w:hint="eastAsia" w:ascii="方正仿宋_GBK" w:eastAsia="方正仿宋_GBK" w:cs="Times New Roman"/>
          <w:sz w:val="32"/>
          <w:szCs w:val="32"/>
        </w:rPr>
        <w:t>区发改委、区监察局、区规划局、区法制办等部门要根据职能职责，指导镇人民政府、街道办事处和农村集体经济组织审慎稳妥有序推进农村教育闲置资产盘活利用工作。</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32"/>
        <w:jc w:val="both"/>
        <w:textAlignment w:val="auto"/>
        <w:rPr>
          <w:rFonts w:ascii="方正楷体_GBK" w:eastAsia="方正楷体_GBK" w:cs="Times New Roman"/>
          <w:sz w:val="32"/>
          <w:szCs w:val="32"/>
        </w:rPr>
      </w:pPr>
      <w:r>
        <w:rPr>
          <w:rFonts w:hint="eastAsia" w:ascii="方正楷体_GBK" w:eastAsia="方正楷体_GBK" w:cs="Times New Roman"/>
          <w:sz w:val="32"/>
          <w:szCs w:val="32"/>
        </w:rPr>
        <w:t>（二）依法规范实施处置</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32"/>
        <w:jc w:val="both"/>
        <w:textAlignment w:val="auto"/>
        <w:rPr>
          <w:rFonts w:ascii="方正仿宋_GBK" w:eastAsia="方正仿宋_GBK" w:cs="Times New Roman"/>
          <w:sz w:val="32"/>
          <w:szCs w:val="32"/>
        </w:rPr>
      </w:pPr>
      <w:r>
        <w:rPr>
          <w:rFonts w:ascii="方正仿宋_GBK" w:eastAsia="方正仿宋_GBK" w:cs="Times New Roman"/>
          <w:b/>
          <w:sz w:val="32"/>
          <w:szCs w:val="32"/>
        </w:rPr>
        <w:t>1</w:t>
      </w:r>
      <w:r>
        <w:rPr>
          <w:rFonts w:hint="eastAsia" w:ascii="方正仿宋_GBK" w:eastAsia="方正仿宋_GBK" w:cs="Times New Roman"/>
          <w:b/>
          <w:sz w:val="32"/>
          <w:szCs w:val="32"/>
        </w:rPr>
        <w:t>．处置原则。</w:t>
      </w:r>
      <w:r>
        <w:rPr>
          <w:rFonts w:hint="eastAsia" w:ascii="方正仿宋_GBK" w:eastAsia="方正仿宋_GBK" w:cs="Times New Roman"/>
          <w:sz w:val="32"/>
          <w:szCs w:val="32"/>
        </w:rPr>
        <w:t>对已经确权给农村集体经济组织的，维持权属不变。尚未明确权属的，全部确权给当地农村集体经济组织。对已明确为国有权属的，除按照教育布局规划需要保留办学的外，其余的农村教育闲置资产由区教委指导、督促管理学校整体划转给所在地镇人民政府、街道办事处，并按照国有资产管理程序对划转的资产予以核销。</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32"/>
        <w:jc w:val="both"/>
        <w:textAlignment w:val="auto"/>
        <w:rPr>
          <w:rFonts w:ascii="方正仿宋_GBK" w:eastAsia="方正仿宋_GBK" w:cs="Times New Roman"/>
          <w:sz w:val="32"/>
          <w:szCs w:val="32"/>
        </w:rPr>
      </w:pPr>
      <w:r>
        <w:rPr>
          <w:rFonts w:ascii="方正仿宋_GBK" w:eastAsia="方正仿宋_GBK" w:cs="Times New Roman"/>
          <w:b/>
          <w:sz w:val="32"/>
          <w:szCs w:val="32"/>
        </w:rPr>
        <w:t>2</w:t>
      </w:r>
      <w:r>
        <w:rPr>
          <w:rFonts w:hint="eastAsia" w:ascii="方正仿宋_GBK" w:eastAsia="方正仿宋_GBK" w:cs="Times New Roman"/>
          <w:b/>
          <w:sz w:val="32"/>
          <w:szCs w:val="32"/>
        </w:rPr>
        <w:t>．处置程序。</w:t>
      </w:r>
      <w:r>
        <w:rPr>
          <w:rFonts w:hint="eastAsia" w:ascii="方正仿宋_GBK" w:eastAsia="方正仿宋_GBK" w:cs="Times New Roman"/>
          <w:sz w:val="32"/>
          <w:szCs w:val="32"/>
        </w:rPr>
        <w:t>一是由区教委组织相关学校清理核实农村闲置教育资产相关信息，将所涉及的房屋、土地证件等资料归档；二是由区教委按行政事业单位国有资产管理规定和指导意见精神，组织相关学校将闲置教育资产统计表、证件等相关资料报区财政局审核划转到镇人民政府、街道办事处；三是镇人民政府、街道办事处和相关学校根据区财政局下达的资产处置批复文件办理资产交接手续，及时对划转资产进行入账和销账处理；四是镇人民政府、街道办事处提供国有权属和未确权的闲置资产的相关资料到区国房局办理产权变更手续；五是产权变更完成后，区农委督促镇人民政府、街道办事处与当地村组限期内完成国有权属的农村教育闲置资产相关权益转让协议签订等工作；六是对确实需要出售、出租等处置的资产，应当按照区政府出台的《关于印发重庆市永川区国有资产处置和租赁管理办法的通知》（永川府办发〔</w:t>
      </w:r>
      <w:r>
        <w:rPr>
          <w:rFonts w:ascii="方正仿宋_GBK" w:eastAsia="方正仿宋_GBK" w:cs="Times New Roman"/>
          <w:sz w:val="32"/>
          <w:szCs w:val="32"/>
        </w:rPr>
        <w:t>2014</w:t>
      </w:r>
      <w:r>
        <w:rPr>
          <w:rFonts w:hint="eastAsia" w:ascii="方正仿宋_GBK" w:eastAsia="方正仿宋_GBK" w:cs="Times New Roman"/>
          <w:sz w:val="32"/>
          <w:szCs w:val="32"/>
        </w:rPr>
        <w:t>〕</w:t>
      </w:r>
      <w:r>
        <w:rPr>
          <w:rFonts w:ascii="方正仿宋_GBK" w:eastAsia="方正仿宋_GBK" w:cs="Times New Roman"/>
          <w:sz w:val="32"/>
          <w:szCs w:val="32"/>
        </w:rPr>
        <w:t>2</w:t>
      </w:r>
      <w:r>
        <w:rPr>
          <w:rFonts w:hint="eastAsia" w:ascii="方正仿宋_GBK" w:eastAsia="方正仿宋_GBK" w:cs="Times New Roman"/>
          <w:sz w:val="32"/>
          <w:szCs w:val="32"/>
        </w:rPr>
        <w:t>号）实施；七是区审计局组织相关部门对指导意见出台前盘活利用的闲置教育资产所获得的收益开展审计，对未按规定使用和管理资金的行为予以纠正。</w:t>
      </w:r>
    </w:p>
    <w:p>
      <w:pPr>
        <w:pStyle w:val="14"/>
        <w:keepNext w:val="0"/>
        <w:keepLines w:val="0"/>
        <w:pageBreakBefore w:val="0"/>
        <w:widowControl w:val="0"/>
        <w:kinsoku/>
        <w:wordWrap/>
        <w:overflowPunct/>
        <w:topLinePunct w:val="0"/>
        <w:autoSpaceDE/>
        <w:autoSpaceDN/>
        <w:bidi w:val="0"/>
        <w:adjustRightInd/>
        <w:snapToGrid w:val="0"/>
        <w:spacing w:line="600" w:lineRule="exact"/>
        <w:ind w:firstLine="632"/>
        <w:jc w:val="both"/>
        <w:textAlignment w:val="auto"/>
        <w:rPr>
          <w:rFonts w:ascii="方正仿宋_GBK" w:eastAsia="方正仿宋_GBK" w:cs="Times New Roman"/>
          <w:sz w:val="32"/>
          <w:szCs w:val="32"/>
        </w:rPr>
      </w:pPr>
      <w:r>
        <w:rPr>
          <w:rFonts w:ascii="方正仿宋_GBK" w:eastAsia="方正仿宋_GBK" w:cs="Times New Roman"/>
          <w:b/>
          <w:sz w:val="32"/>
          <w:szCs w:val="32"/>
        </w:rPr>
        <w:t>3</w:t>
      </w:r>
      <w:r>
        <w:rPr>
          <w:rFonts w:hint="eastAsia" w:ascii="方正仿宋_GBK" w:eastAsia="方正仿宋_GBK" w:cs="Times New Roman"/>
          <w:b/>
          <w:sz w:val="32"/>
          <w:szCs w:val="32"/>
        </w:rPr>
        <w:t>．收益分配。</w:t>
      </w:r>
      <w:r>
        <w:rPr>
          <w:rFonts w:hint="eastAsia" w:ascii="方正仿宋_GBK" w:eastAsia="方正仿宋_GBK" w:cs="Times New Roman"/>
          <w:sz w:val="32"/>
          <w:szCs w:val="32"/>
        </w:rPr>
        <w:t>农村教育闲置资产盘活利用所获得的出租、入股、变现等收益，全部归当地农村集体经济组织所有，用于农村公益事业发展。农村集体经济组织所得收益，必须单独建账管理，接受镇人民政府、街道办事处监督，不得直接分配给个人。《重庆市人民政府关于农村教育闲置资产盘活利用的指导意见》出台前，农村教育闲置资产已处置获得收益的，由相关部门组织开展审计。未使用的收益全部归当地村组所有；已使用的收益，除确已用于教育事业的外，其余全部清退并划归当地村组所有，按相关规定使用和管理。</w:t>
      </w:r>
    </w:p>
    <w:p>
      <w:pPr>
        <w:keepNext w:val="0"/>
        <w:keepLines w:val="0"/>
        <w:pageBreakBefore w:val="0"/>
        <w:widowControl w:val="0"/>
        <w:kinsoku/>
        <w:wordWrap/>
        <w:overflowPunct/>
        <w:topLinePunct w:val="0"/>
        <w:autoSpaceDE/>
        <w:autoSpaceDN/>
        <w:bidi w:val="0"/>
        <w:adjustRightInd/>
        <w:snapToGrid w:val="0"/>
        <w:spacing w:line="600" w:lineRule="exact"/>
        <w:ind w:firstLine="643"/>
        <w:textAlignment w:val="auto"/>
        <w:rPr>
          <w:rFonts w:ascii="方正仿宋_GBK" w:hAnsi="Times New Roman" w:cs="Times New Roman"/>
          <w:szCs w:val="32"/>
        </w:rPr>
      </w:pPr>
      <w:r>
        <w:rPr>
          <w:rFonts w:ascii="方正仿宋_GBK" w:hAnsi="Times New Roman" w:cs="Times New Roman"/>
          <w:b/>
          <w:szCs w:val="32"/>
        </w:rPr>
        <w:t>4</w:t>
      </w:r>
      <w:r>
        <w:rPr>
          <w:rFonts w:hint="eastAsia" w:ascii="方正仿宋_GBK" w:hAnsi="Times New Roman" w:cs="Times New Roman"/>
          <w:b/>
          <w:szCs w:val="32"/>
        </w:rPr>
        <w:t>．违法违规处理。</w:t>
      </w:r>
      <w:r>
        <w:rPr>
          <w:rFonts w:hint="eastAsia" w:ascii="方正仿宋_GBK" w:hAnsi="Times New Roman" w:cs="Times New Roman"/>
          <w:szCs w:val="32"/>
        </w:rPr>
        <w:t>对违法违规处置的行为要予以纠正，并严肃追究相关人员的责任；对被其他单位、个人非法占用的农村教育闲置资产，要依法收回盘活利用。</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ascii="方正黑体_GBK" w:hAnsi="Times New Roman" w:eastAsia="方正黑体_GBK" w:cs="Times New Roman"/>
          <w:szCs w:val="32"/>
        </w:rPr>
      </w:pPr>
      <w:r>
        <w:rPr>
          <w:rFonts w:hint="eastAsia" w:ascii="方正黑体_GBK" w:hAnsi="Times New Roman" w:eastAsia="方正黑体_GBK" w:cs="Times New Roman"/>
          <w:szCs w:val="32"/>
        </w:rPr>
        <w:t>五、工作进度</w:t>
      </w:r>
    </w:p>
    <w:p>
      <w:pPr>
        <w:keepNext w:val="0"/>
        <w:keepLines w:val="0"/>
        <w:pageBreakBefore w:val="0"/>
        <w:widowControl w:val="0"/>
        <w:kinsoku/>
        <w:wordWrap/>
        <w:overflowPunct/>
        <w:topLinePunct w:val="0"/>
        <w:autoSpaceDE/>
        <w:autoSpaceDN/>
        <w:bidi w:val="0"/>
        <w:adjustRightInd/>
        <w:snapToGrid w:val="0"/>
        <w:spacing w:line="600" w:lineRule="exact"/>
        <w:ind w:firstLine="643"/>
        <w:textAlignment w:val="auto"/>
        <w:rPr>
          <w:rFonts w:ascii="方正仿宋_GBK" w:hAnsi="Times New Roman" w:cs="Times New Roman"/>
          <w:szCs w:val="32"/>
        </w:rPr>
      </w:pPr>
      <w:r>
        <w:rPr>
          <w:rFonts w:hint="eastAsia" w:ascii="方正楷体_GBK" w:hAnsi="Calibri" w:eastAsia="方正楷体_GBK" w:cs="Times New Roman"/>
          <w:szCs w:val="32"/>
        </w:rPr>
        <w:t>（一）启动阶段：</w:t>
      </w:r>
      <w:r>
        <w:rPr>
          <w:rFonts w:hint="default" w:ascii="Times New Roman" w:hAnsi="Times New Roman" w:cs="Times New Roman"/>
          <w:szCs w:val="32"/>
        </w:rPr>
        <w:t>2014</w:t>
      </w:r>
      <w:r>
        <w:rPr>
          <w:rFonts w:hint="eastAsia" w:ascii="方正仿宋_GBK" w:hAnsi="Times New Roman" w:cs="Times New Roman"/>
          <w:szCs w:val="32"/>
        </w:rPr>
        <w:t>年</w:t>
      </w:r>
      <w:r>
        <w:rPr>
          <w:rFonts w:hint="default" w:ascii="Times New Roman" w:hAnsi="Times New Roman" w:cs="Times New Roman"/>
          <w:szCs w:val="32"/>
        </w:rPr>
        <w:t>12</w:t>
      </w:r>
      <w:r>
        <w:rPr>
          <w:rFonts w:hint="eastAsia" w:ascii="方正仿宋_GBK" w:hAnsi="Times New Roman" w:cs="Times New Roman"/>
          <w:szCs w:val="32"/>
        </w:rPr>
        <w:t>月</w:t>
      </w:r>
      <w:r>
        <w:rPr>
          <w:rFonts w:hint="default" w:ascii="Times New Roman" w:hAnsi="Times New Roman" w:cs="Times New Roman"/>
          <w:szCs w:val="32"/>
        </w:rPr>
        <w:t>25</w:t>
      </w:r>
      <w:r>
        <w:rPr>
          <w:rFonts w:hint="eastAsia" w:ascii="方正仿宋_GBK" w:hAnsi="Times New Roman" w:cs="Times New Roman"/>
          <w:szCs w:val="32"/>
        </w:rPr>
        <w:t>日至</w:t>
      </w:r>
      <w:r>
        <w:rPr>
          <w:rFonts w:hint="default" w:ascii="Times New Roman" w:hAnsi="Times New Roman" w:cs="Times New Roman"/>
          <w:szCs w:val="32"/>
        </w:rPr>
        <w:t>2015</w:t>
      </w:r>
      <w:r>
        <w:rPr>
          <w:rFonts w:hint="eastAsia" w:ascii="方正仿宋_GBK" w:hAnsi="Times New Roman" w:cs="Times New Roman"/>
          <w:szCs w:val="32"/>
        </w:rPr>
        <w:t>年</w:t>
      </w:r>
      <w:r>
        <w:rPr>
          <w:rFonts w:hint="default" w:ascii="Times New Roman" w:hAnsi="Times New Roman" w:cs="Times New Roman"/>
          <w:szCs w:val="32"/>
        </w:rPr>
        <w:t>1</w:t>
      </w:r>
      <w:r>
        <w:rPr>
          <w:rFonts w:hint="eastAsia" w:ascii="方正仿宋_GBK" w:hAnsi="Times New Roman" w:cs="Times New Roman"/>
          <w:szCs w:val="32"/>
        </w:rPr>
        <w:t>月</w:t>
      </w:r>
      <w:r>
        <w:rPr>
          <w:rFonts w:hint="default" w:ascii="Times New Roman" w:hAnsi="Times New Roman" w:cs="Times New Roman"/>
          <w:szCs w:val="32"/>
        </w:rPr>
        <w:t>30</w:t>
      </w:r>
      <w:r>
        <w:rPr>
          <w:rFonts w:hint="eastAsia" w:ascii="方正仿宋_GBK" w:hAnsi="Times New Roman" w:cs="Times New Roman"/>
          <w:szCs w:val="32"/>
        </w:rPr>
        <w:t>日。按照《指导意见》精神，成立工作机构，明确责任分工，调配工作人员，制定具体实施方案，做好农村教育闲置资产处置的前期准备工作。</w:t>
      </w:r>
    </w:p>
    <w:p>
      <w:pPr>
        <w:keepNext w:val="0"/>
        <w:keepLines w:val="0"/>
        <w:pageBreakBefore w:val="0"/>
        <w:widowControl w:val="0"/>
        <w:kinsoku/>
        <w:wordWrap/>
        <w:overflowPunct/>
        <w:topLinePunct w:val="0"/>
        <w:autoSpaceDE/>
        <w:autoSpaceDN/>
        <w:bidi w:val="0"/>
        <w:adjustRightInd/>
        <w:snapToGrid w:val="0"/>
        <w:spacing w:line="600" w:lineRule="exact"/>
        <w:ind w:firstLine="643"/>
        <w:textAlignment w:val="auto"/>
        <w:rPr>
          <w:rFonts w:ascii="方正仿宋_GBK" w:hAnsi="Times New Roman" w:cs="Times New Roman"/>
          <w:szCs w:val="32"/>
        </w:rPr>
      </w:pPr>
      <w:r>
        <w:rPr>
          <w:rFonts w:hint="eastAsia" w:ascii="方正楷体_GBK" w:hAnsi="Calibri" w:eastAsia="方正楷体_GBK" w:cs="Times New Roman"/>
          <w:szCs w:val="32"/>
        </w:rPr>
        <w:t>（二）清理阶段：</w:t>
      </w:r>
      <w:r>
        <w:rPr>
          <w:rFonts w:hint="default" w:ascii="Times New Roman" w:hAnsi="Times New Roman" w:cs="Times New Roman"/>
          <w:szCs w:val="32"/>
        </w:rPr>
        <w:t>2015</w:t>
      </w:r>
      <w:r>
        <w:rPr>
          <w:rFonts w:hint="eastAsia" w:ascii="方正仿宋_GBK" w:hAnsi="Times New Roman" w:cs="Times New Roman"/>
          <w:szCs w:val="32"/>
        </w:rPr>
        <w:t>年</w:t>
      </w:r>
      <w:r>
        <w:rPr>
          <w:rFonts w:hint="default" w:ascii="Times New Roman" w:hAnsi="Times New Roman" w:cs="Times New Roman"/>
          <w:szCs w:val="32"/>
        </w:rPr>
        <w:t>2</w:t>
      </w:r>
      <w:r>
        <w:rPr>
          <w:rFonts w:hint="eastAsia" w:ascii="方正仿宋_GBK" w:hAnsi="Times New Roman" w:cs="Times New Roman"/>
          <w:szCs w:val="32"/>
        </w:rPr>
        <w:t>月</w:t>
      </w:r>
      <w:r>
        <w:rPr>
          <w:rFonts w:hint="default" w:ascii="Times New Roman" w:hAnsi="Times New Roman" w:cs="Times New Roman"/>
          <w:szCs w:val="32"/>
        </w:rPr>
        <w:t>1</w:t>
      </w:r>
      <w:r>
        <w:rPr>
          <w:rFonts w:hint="eastAsia" w:ascii="方正仿宋_GBK" w:hAnsi="Times New Roman" w:cs="Times New Roman"/>
          <w:szCs w:val="32"/>
        </w:rPr>
        <w:t>日至</w:t>
      </w:r>
      <w:r>
        <w:rPr>
          <w:rFonts w:hint="default" w:ascii="Times New Roman" w:hAnsi="Times New Roman" w:cs="Times New Roman"/>
          <w:szCs w:val="32"/>
        </w:rPr>
        <w:t>2</w:t>
      </w:r>
      <w:r>
        <w:rPr>
          <w:rFonts w:hint="eastAsia" w:ascii="方正仿宋_GBK" w:hAnsi="Times New Roman" w:cs="Times New Roman"/>
          <w:szCs w:val="32"/>
        </w:rPr>
        <w:t>月</w:t>
      </w:r>
      <w:r>
        <w:rPr>
          <w:rFonts w:hint="default" w:ascii="Times New Roman" w:hAnsi="Times New Roman" w:cs="Times New Roman"/>
          <w:szCs w:val="32"/>
        </w:rPr>
        <w:t>15</w:t>
      </w:r>
      <w:r>
        <w:rPr>
          <w:rFonts w:hint="eastAsia" w:ascii="方正仿宋_GBK" w:hAnsi="Times New Roman" w:cs="Times New Roman"/>
          <w:szCs w:val="32"/>
        </w:rPr>
        <w:t>日。区教委牵头组织下属单位开展农村教育闲置资产清理统计和资料收集整理工作，建立详实的清查档案。</w:t>
      </w:r>
    </w:p>
    <w:p>
      <w:pPr>
        <w:keepNext w:val="0"/>
        <w:keepLines w:val="0"/>
        <w:pageBreakBefore w:val="0"/>
        <w:widowControl w:val="0"/>
        <w:kinsoku/>
        <w:wordWrap/>
        <w:overflowPunct/>
        <w:topLinePunct w:val="0"/>
        <w:autoSpaceDE/>
        <w:autoSpaceDN/>
        <w:bidi w:val="0"/>
        <w:adjustRightInd/>
        <w:snapToGrid w:val="0"/>
        <w:spacing w:line="600" w:lineRule="exact"/>
        <w:ind w:firstLine="643"/>
        <w:textAlignment w:val="auto"/>
        <w:rPr>
          <w:rFonts w:ascii="方正仿宋_GBK" w:hAnsi="Times New Roman" w:cs="Times New Roman"/>
          <w:szCs w:val="32"/>
        </w:rPr>
      </w:pPr>
      <w:r>
        <w:rPr>
          <w:rFonts w:hint="eastAsia" w:ascii="方正楷体_GBK" w:hAnsi="Calibri" w:eastAsia="方正楷体_GBK" w:cs="Times New Roman"/>
          <w:szCs w:val="32"/>
        </w:rPr>
        <w:t>（三）处置阶段：</w:t>
      </w:r>
      <w:r>
        <w:rPr>
          <w:rFonts w:hint="default" w:ascii="Times New Roman" w:hAnsi="Times New Roman" w:cs="Times New Roman"/>
          <w:szCs w:val="32"/>
        </w:rPr>
        <w:t>2015</w:t>
      </w:r>
      <w:r>
        <w:rPr>
          <w:rFonts w:hint="eastAsia" w:ascii="方正仿宋_GBK" w:hAnsi="Times New Roman" w:cs="Times New Roman"/>
          <w:szCs w:val="32"/>
        </w:rPr>
        <w:t>年</w:t>
      </w:r>
      <w:r>
        <w:rPr>
          <w:rFonts w:hint="default" w:ascii="Times New Roman" w:hAnsi="Times New Roman" w:cs="Times New Roman"/>
          <w:szCs w:val="32"/>
        </w:rPr>
        <w:t>2</w:t>
      </w:r>
      <w:r>
        <w:rPr>
          <w:rFonts w:hint="eastAsia" w:ascii="方正仿宋_GBK" w:hAnsi="Times New Roman" w:cs="Times New Roman"/>
          <w:szCs w:val="32"/>
        </w:rPr>
        <w:t>月</w:t>
      </w:r>
      <w:r>
        <w:rPr>
          <w:rFonts w:hint="default" w:ascii="Times New Roman" w:hAnsi="Times New Roman" w:cs="Times New Roman"/>
          <w:szCs w:val="32"/>
        </w:rPr>
        <w:t>16</w:t>
      </w:r>
      <w:r>
        <w:rPr>
          <w:rFonts w:hint="eastAsia" w:ascii="方正仿宋_GBK" w:hAnsi="Times New Roman" w:cs="Times New Roman"/>
          <w:szCs w:val="32"/>
        </w:rPr>
        <w:t>日至</w:t>
      </w:r>
      <w:r>
        <w:rPr>
          <w:rFonts w:hint="default" w:ascii="Times New Roman" w:hAnsi="Times New Roman" w:cs="Times New Roman"/>
          <w:szCs w:val="32"/>
        </w:rPr>
        <w:t>4</w:t>
      </w:r>
      <w:r>
        <w:rPr>
          <w:rFonts w:hint="eastAsia" w:ascii="方正仿宋_GBK" w:hAnsi="Times New Roman" w:cs="Times New Roman"/>
          <w:szCs w:val="32"/>
        </w:rPr>
        <w:t>月</w:t>
      </w:r>
      <w:r>
        <w:rPr>
          <w:rFonts w:hint="default" w:ascii="Times New Roman" w:hAnsi="Times New Roman" w:cs="Times New Roman"/>
          <w:szCs w:val="32"/>
        </w:rPr>
        <w:t>30</w:t>
      </w:r>
      <w:r>
        <w:rPr>
          <w:rFonts w:hint="eastAsia" w:ascii="方正仿宋_GBK" w:hAnsi="Times New Roman" w:cs="Times New Roman"/>
          <w:szCs w:val="32"/>
        </w:rPr>
        <w:t>日。</w:t>
      </w:r>
      <w:r>
        <w:rPr>
          <w:rFonts w:hint="default" w:ascii="Times New Roman" w:hAnsi="Times New Roman" w:cs="Times New Roman"/>
          <w:szCs w:val="32"/>
        </w:rPr>
        <w:t>2015</w:t>
      </w:r>
      <w:r>
        <w:rPr>
          <w:rFonts w:hint="eastAsia" w:ascii="方正仿宋_GBK" w:hAnsi="Times New Roman" w:cs="Times New Roman"/>
          <w:szCs w:val="32"/>
        </w:rPr>
        <w:t>年</w:t>
      </w:r>
      <w:r>
        <w:rPr>
          <w:rFonts w:hint="default" w:ascii="Times New Roman" w:hAnsi="Times New Roman" w:cs="Times New Roman"/>
          <w:szCs w:val="32"/>
        </w:rPr>
        <w:t>2</w:t>
      </w:r>
      <w:r>
        <w:rPr>
          <w:rFonts w:hint="eastAsia" w:ascii="方正仿宋_GBK" w:hAnsi="Times New Roman" w:cs="Times New Roman"/>
          <w:szCs w:val="32"/>
        </w:rPr>
        <w:t>月</w:t>
      </w:r>
      <w:r>
        <w:rPr>
          <w:rFonts w:hint="default" w:ascii="Times New Roman" w:hAnsi="Times New Roman" w:cs="Times New Roman"/>
          <w:szCs w:val="32"/>
        </w:rPr>
        <w:t>16</w:t>
      </w:r>
      <w:r>
        <w:rPr>
          <w:rFonts w:hint="eastAsia" w:ascii="方正仿宋_GBK" w:hAnsi="Times New Roman" w:cs="Times New Roman"/>
          <w:szCs w:val="32"/>
        </w:rPr>
        <w:t>日至</w:t>
      </w:r>
      <w:r>
        <w:rPr>
          <w:rFonts w:hint="default" w:ascii="Times New Roman" w:hAnsi="Times New Roman" w:cs="Times New Roman"/>
          <w:szCs w:val="32"/>
        </w:rPr>
        <w:t>3</w:t>
      </w:r>
      <w:r>
        <w:rPr>
          <w:rFonts w:hint="eastAsia" w:ascii="方正仿宋_GBK" w:hAnsi="Times New Roman" w:cs="Times New Roman"/>
          <w:szCs w:val="32"/>
        </w:rPr>
        <w:t>月</w:t>
      </w:r>
      <w:r>
        <w:rPr>
          <w:rFonts w:hint="default" w:ascii="Times New Roman" w:hAnsi="Times New Roman" w:cs="Times New Roman"/>
          <w:szCs w:val="32"/>
        </w:rPr>
        <w:t>20</w:t>
      </w:r>
      <w:r>
        <w:rPr>
          <w:rFonts w:hint="eastAsia" w:ascii="方正仿宋_GBK" w:hAnsi="Times New Roman" w:cs="Times New Roman"/>
          <w:szCs w:val="32"/>
        </w:rPr>
        <w:t>日，区财政局下达资产处置批复文件，区国土房管局完成对国有权属和未确权的闲置资产办证确权，区教委和区农委下属单位按照国资处置程序完成资产交接和销账入账，区农委于</w:t>
      </w:r>
      <w:r>
        <w:rPr>
          <w:rFonts w:hint="default" w:ascii="Times New Roman" w:hAnsi="Times New Roman" w:cs="Times New Roman"/>
          <w:szCs w:val="32"/>
        </w:rPr>
        <w:t>4</w:t>
      </w:r>
      <w:r>
        <w:rPr>
          <w:rFonts w:hint="eastAsia" w:ascii="方正仿宋_GBK" w:hAnsi="Times New Roman" w:cs="Times New Roman"/>
          <w:szCs w:val="32"/>
        </w:rPr>
        <w:t>月</w:t>
      </w:r>
      <w:r>
        <w:rPr>
          <w:rFonts w:hint="default" w:ascii="Times New Roman" w:hAnsi="Times New Roman" w:cs="Times New Roman"/>
          <w:szCs w:val="32"/>
        </w:rPr>
        <w:t>30</w:t>
      </w:r>
      <w:r>
        <w:rPr>
          <w:rFonts w:hint="eastAsia" w:ascii="方正仿宋_GBK" w:hAnsi="Times New Roman" w:cs="Times New Roman"/>
          <w:szCs w:val="32"/>
        </w:rPr>
        <w:t>日前督促镇街政府与当地村社完成国有权属的农村教育闲置资产相关权益转让协议签订等工作。处置期间区审计局开展已处置闲置资产收益使用情况的审计工作。</w:t>
      </w:r>
    </w:p>
    <w:p>
      <w:pPr>
        <w:keepNext w:val="0"/>
        <w:keepLines w:val="0"/>
        <w:pageBreakBefore w:val="0"/>
        <w:widowControl w:val="0"/>
        <w:kinsoku/>
        <w:wordWrap/>
        <w:overflowPunct/>
        <w:topLinePunct w:val="0"/>
        <w:autoSpaceDE/>
        <w:autoSpaceDN/>
        <w:bidi w:val="0"/>
        <w:adjustRightInd/>
        <w:snapToGrid w:val="0"/>
        <w:spacing w:line="600" w:lineRule="exact"/>
        <w:ind w:firstLine="643"/>
        <w:textAlignment w:val="auto"/>
        <w:rPr>
          <w:rFonts w:ascii="方正仿宋_GBK" w:hAnsi="Times New Roman" w:cs="Times New Roman"/>
          <w:szCs w:val="32"/>
        </w:rPr>
      </w:pPr>
      <w:r>
        <w:rPr>
          <w:rFonts w:hint="eastAsia" w:ascii="方正楷体_GBK" w:hAnsi="Times New Roman" w:eastAsia="方正楷体_GBK" w:cs="Times New Roman"/>
          <w:szCs w:val="32"/>
        </w:rPr>
        <w:t>（四）总结阶段：</w:t>
      </w:r>
      <w:r>
        <w:rPr>
          <w:rFonts w:hint="default" w:ascii="Times New Roman" w:hAnsi="Times New Roman" w:cs="Times New Roman"/>
          <w:szCs w:val="32"/>
        </w:rPr>
        <w:t>2015</w:t>
      </w:r>
      <w:r>
        <w:rPr>
          <w:rFonts w:hint="eastAsia" w:ascii="方正仿宋_GBK" w:hAnsi="Times New Roman" w:cs="Times New Roman"/>
          <w:szCs w:val="32"/>
        </w:rPr>
        <w:t>年</w:t>
      </w:r>
      <w:r>
        <w:rPr>
          <w:rFonts w:hint="default" w:ascii="Times New Roman" w:hAnsi="Times New Roman" w:cs="Times New Roman"/>
          <w:szCs w:val="32"/>
        </w:rPr>
        <w:t>5</w:t>
      </w:r>
      <w:r>
        <w:rPr>
          <w:rFonts w:hint="eastAsia" w:ascii="方正仿宋_GBK" w:hAnsi="Times New Roman" w:cs="Times New Roman"/>
          <w:szCs w:val="32"/>
        </w:rPr>
        <w:t>月</w:t>
      </w:r>
      <w:r>
        <w:rPr>
          <w:rFonts w:hint="default" w:ascii="Times New Roman" w:hAnsi="Times New Roman" w:cs="Times New Roman"/>
          <w:szCs w:val="32"/>
        </w:rPr>
        <w:t>15</w:t>
      </w:r>
      <w:r>
        <w:rPr>
          <w:rFonts w:hint="eastAsia" w:ascii="方正仿宋_GBK" w:hAnsi="Times New Roman" w:cs="Times New Roman"/>
          <w:szCs w:val="32"/>
        </w:rPr>
        <w:t>日前。农村教育闲置资产盘活利用工作结束后，各主要部门对各自工作完成情况进行总结并上报区政府。</w:t>
      </w: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ascii="方正仿宋_GBK" w:hAnsi="Times New Roman" w:cs="Times New Roman"/>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40"/>
        <w:textAlignment w:val="auto"/>
        <w:rPr>
          <w:rFonts w:ascii="方正仿宋_GBK" w:hAnsi="Times New Roman" w:cs="Times New Roman"/>
          <w:szCs w:val="32"/>
        </w:rPr>
      </w:pPr>
      <w:r>
        <w:rPr>
          <w:rFonts w:hint="eastAsia" w:ascii="方正仿宋_GBK" w:hAnsi="Times New Roman" w:cs="Times New Roman"/>
          <w:szCs w:val="32"/>
        </w:rPr>
        <w:t>附件：</w:t>
      </w:r>
      <w:r>
        <w:rPr>
          <w:rFonts w:ascii="方正仿宋_GBK" w:hAnsi="Times New Roman" w:cs="Times New Roman"/>
          <w:szCs w:val="32"/>
        </w:rPr>
        <w:t>1</w:t>
      </w:r>
      <w:r>
        <w:rPr>
          <w:rFonts w:hint="eastAsia" w:ascii="方正仿宋_GBK" w:hAnsi="Times New Roman" w:cs="Times New Roman"/>
          <w:szCs w:val="32"/>
        </w:rPr>
        <w:t>．农村中小学闲置校地校舍基本情况核查表</w:t>
      </w:r>
    </w:p>
    <w:p>
      <w:pPr>
        <w:keepNext w:val="0"/>
        <w:keepLines w:val="0"/>
        <w:pageBreakBefore w:val="0"/>
        <w:widowControl w:val="0"/>
        <w:kinsoku/>
        <w:wordWrap/>
        <w:overflowPunct/>
        <w:topLinePunct w:val="0"/>
        <w:autoSpaceDE/>
        <w:autoSpaceDN/>
        <w:bidi w:val="0"/>
        <w:adjustRightInd/>
        <w:snapToGrid w:val="0"/>
        <w:spacing w:line="600" w:lineRule="exact"/>
        <w:ind w:firstLine="1580" w:firstLineChars="500"/>
        <w:textAlignment w:val="auto"/>
        <w:rPr>
          <w:rFonts w:ascii="方正仿宋_GBK" w:hAnsi="Times New Roman" w:cs="Times New Roman"/>
          <w:spacing w:val="-8"/>
          <w:szCs w:val="32"/>
        </w:rPr>
      </w:pPr>
      <w:r>
        <w:rPr>
          <w:rFonts w:ascii="方正仿宋_GBK" w:hAnsi="Times New Roman" w:cs="Times New Roman"/>
          <w:szCs w:val="32"/>
        </w:rPr>
        <w:t>2</w:t>
      </w:r>
      <w:r>
        <w:rPr>
          <w:rFonts w:hint="eastAsia" w:ascii="方正仿宋_GBK" w:hAnsi="Times New Roman" w:cs="Times New Roman"/>
          <w:szCs w:val="32"/>
        </w:rPr>
        <w:t>．</w:t>
      </w:r>
      <w:r>
        <w:rPr>
          <w:rFonts w:hint="eastAsia" w:ascii="方正仿宋_GBK" w:hAnsi="Times New Roman" w:cs="Times New Roman"/>
          <w:spacing w:val="-8"/>
          <w:szCs w:val="32"/>
        </w:rPr>
        <w:t>农村教育闲置资产盘活利用收益使用情况统计表</w:t>
      </w:r>
    </w:p>
    <w:p>
      <w:pPr>
        <w:keepNext w:val="0"/>
        <w:keepLines w:val="0"/>
        <w:pageBreakBefore w:val="0"/>
        <w:widowControl w:val="0"/>
        <w:kinsoku/>
        <w:wordWrap/>
        <w:overflowPunct/>
        <w:topLinePunct w:val="0"/>
        <w:autoSpaceDE/>
        <w:autoSpaceDN/>
        <w:bidi w:val="0"/>
        <w:adjustRightInd/>
        <w:snapToGrid w:val="0"/>
        <w:spacing w:line="600" w:lineRule="exact"/>
        <w:ind w:firstLine="1580" w:firstLineChars="500"/>
        <w:textAlignment w:val="auto"/>
        <w:rPr>
          <w:rFonts w:ascii="方正仿宋_GBK" w:hAnsi="Times New Roman" w:cs="Times New Roman"/>
          <w:szCs w:val="32"/>
        </w:rPr>
      </w:pPr>
      <w:r>
        <w:rPr>
          <w:rFonts w:ascii="方正仿宋_GBK" w:hAnsi="Times New Roman" w:cs="Times New Roman"/>
          <w:szCs w:val="32"/>
        </w:rPr>
        <w:t>3</w:t>
      </w:r>
      <w:r>
        <w:rPr>
          <w:rFonts w:hint="eastAsia" w:ascii="方正仿宋_GBK" w:hAnsi="Times New Roman" w:cs="Times New Roman"/>
          <w:szCs w:val="32"/>
        </w:rPr>
        <w:t>．农村教育闲置资产权益转让协议</w:t>
      </w:r>
    </w:p>
    <w:p>
      <w:pPr>
        <w:keepNext w:val="0"/>
        <w:keepLines w:val="0"/>
        <w:pageBreakBefore w:val="0"/>
        <w:widowControl w:val="0"/>
        <w:kinsoku/>
        <w:wordWrap/>
        <w:overflowPunct/>
        <w:topLinePunct w:val="0"/>
        <w:autoSpaceDE/>
        <w:autoSpaceDN/>
        <w:bidi w:val="0"/>
        <w:adjustRightInd/>
        <w:snapToGrid w:val="0"/>
        <w:spacing w:line="600" w:lineRule="exact"/>
        <w:jc w:val="left"/>
        <w:textAlignment w:val="auto"/>
        <w:rPr>
          <w:rFonts w:hint="eastAsia" w:ascii="方正仿宋_GBK" w:hAnsi="Times New Roman" w:cs="Times New Roman"/>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632" w:firstLineChars="200"/>
        <w:jc w:val="left"/>
        <w:textAlignment w:val="auto"/>
        <w:rPr>
          <w:rFonts w:hint="eastAsia" w:ascii="方正仿宋_GBK" w:hAnsi="Times New Roman" w:cs="Times New Roman"/>
          <w:szCs w:val="32"/>
        </w:rPr>
      </w:pPr>
    </w:p>
    <w:p>
      <w:pPr>
        <w:keepNext w:val="0"/>
        <w:keepLines w:val="0"/>
        <w:pageBreakBefore w:val="0"/>
        <w:widowControl w:val="0"/>
        <w:kinsoku/>
        <w:wordWrap/>
        <w:overflowPunct/>
        <w:topLinePunct w:val="0"/>
        <w:autoSpaceDE/>
        <w:autoSpaceDN/>
        <w:bidi w:val="0"/>
        <w:adjustRightInd/>
        <w:snapToGrid w:val="0"/>
        <w:spacing w:line="600" w:lineRule="exact"/>
        <w:ind w:firstLine="3950" w:firstLineChars="1250"/>
        <w:textAlignment w:val="auto"/>
        <w:rPr>
          <w:rFonts w:hint="eastAsia" w:ascii="方正仿宋_GBK" w:hAnsi="宋体" w:cs="宋体"/>
          <w:color w:val="000000"/>
          <w:kern w:val="0"/>
          <w:szCs w:val="32"/>
        </w:rPr>
      </w:pPr>
      <w:r>
        <w:rPr>
          <w:rFonts w:hint="eastAsia" w:ascii="方正仿宋_GBK" w:hAnsi="宋体" w:cs="宋体"/>
          <w:color w:val="000000"/>
          <w:kern w:val="0"/>
          <w:szCs w:val="32"/>
        </w:rPr>
        <w:t>重庆市永川区人民政府办公室</w:t>
      </w:r>
    </w:p>
    <w:p>
      <w:pPr>
        <w:keepNext w:val="0"/>
        <w:keepLines w:val="0"/>
        <w:pageBreakBefore w:val="0"/>
        <w:widowControl w:val="0"/>
        <w:kinsoku/>
        <w:wordWrap/>
        <w:overflowPunct/>
        <w:topLinePunct w:val="0"/>
        <w:autoSpaceDE/>
        <w:autoSpaceDN/>
        <w:bidi w:val="0"/>
        <w:adjustRightInd/>
        <w:snapToGrid w:val="0"/>
        <w:spacing w:line="600" w:lineRule="exact"/>
        <w:jc w:val="center"/>
        <w:textAlignment w:val="auto"/>
        <w:rPr>
          <w:rFonts w:ascii="仿宋_GB2312" w:hAnsi="Times New Roman" w:cs="Times New Roman"/>
        </w:rPr>
      </w:pPr>
      <w:r>
        <w:rPr>
          <w:rFonts w:hint="eastAsia" w:ascii="Times New Roman" w:hAnsi="Times New Roman" w:cs="Times New Roman"/>
        </w:rPr>
        <w:t xml:space="preserve">                    2015年1月30日</w:t>
      </w:r>
    </w:p>
    <w:p>
      <w:pPr>
        <w:keepNext w:val="0"/>
        <w:keepLines w:val="0"/>
        <w:pageBreakBefore w:val="0"/>
        <w:widowControl w:val="0"/>
        <w:shd w:val="clear" w:color="auto" w:fill="FFFFFF"/>
        <w:kinsoku/>
        <w:wordWrap/>
        <w:overflowPunct/>
        <w:topLinePunct w:val="0"/>
        <w:autoSpaceDE/>
        <w:autoSpaceDN/>
        <w:bidi w:val="0"/>
        <w:adjustRightInd/>
        <w:snapToGrid w:val="0"/>
        <w:spacing w:before="0" w:beforeAutospacing="0" w:after="0" w:afterAutospacing="0" w:line="600" w:lineRule="exact"/>
        <w:ind w:firstLine="640"/>
        <w:textAlignment w:val="auto"/>
        <w:rPr>
          <w:rFonts w:eastAsia="方正仿宋_GBK"/>
          <w:color w:val="000000"/>
          <w:sz w:val="32"/>
        </w:rPr>
        <w:sectPr>
          <w:headerReference r:id="rId3" w:type="default"/>
          <w:footerReference r:id="rId4" w:type="default"/>
          <w:footerReference r:id="rId5" w:type="even"/>
          <w:pgSz w:w="11906" w:h="16838"/>
          <w:pgMar w:top="2098" w:right="1474" w:bottom="1985" w:left="1588" w:header="851" w:footer="1474" w:gutter="0"/>
          <w:cols w:space="425" w:num="1"/>
          <w:docGrid w:type="linesAndChars" w:linePitch="579" w:charSpace="-849"/>
        </w:sectPr>
      </w:pPr>
    </w:p>
    <w:p>
      <w:pPr>
        <w:widowControl w:val="0"/>
        <w:shd w:val="clear" w:color="auto" w:fill="FFFFFF"/>
        <w:snapToGrid w:val="0"/>
        <w:spacing w:before="0" w:beforeAutospacing="0" w:after="0" w:afterAutospacing="0" w:line="276" w:lineRule="auto"/>
        <w:jc w:val="both"/>
        <w:rPr>
          <w:rFonts w:hint="eastAsia" w:ascii="方正黑体_GBK" w:hAnsi="宋体" w:eastAsia="方正黑体_GBK" w:cs="Times New Roman"/>
          <w:color w:val="000000"/>
          <w:kern w:val="0"/>
          <w:sz w:val="32"/>
          <w:szCs w:val="24"/>
          <w:lang w:val="en-US" w:eastAsia="zh-CN" w:bidi="ar-SA"/>
        </w:rPr>
      </w:pPr>
      <w:r>
        <w:rPr>
          <w:rFonts w:hint="eastAsia" w:ascii="方正黑体_GBK" w:hAnsi="宋体" w:eastAsia="方正黑体_GBK" w:cs="Times New Roman"/>
          <w:color w:val="000000"/>
          <w:kern w:val="0"/>
          <w:sz w:val="32"/>
          <w:szCs w:val="24"/>
          <w:lang w:val="en-US" w:eastAsia="zh-CN" w:bidi="ar-SA"/>
        </w:rPr>
        <w:t>附件1</w:t>
      </w:r>
    </w:p>
    <w:p>
      <w:pPr>
        <w:widowControl w:val="0"/>
        <w:shd w:val="clear" w:color="auto" w:fill="FFFFFF"/>
        <w:snapToGrid w:val="0"/>
        <w:spacing w:before="0" w:beforeAutospacing="0" w:after="0" w:afterAutospacing="0" w:line="264" w:lineRule="auto"/>
        <w:jc w:val="center"/>
        <w:rPr>
          <w:rFonts w:hint="eastAsia" w:ascii="方正小标宋_GBK" w:hAnsi="宋体" w:eastAsia="方正小标宋_GBK" w:cs="Times New Roman"/>
          <w:color w:val="000000"/>
          <w:kern w:val="0"/>
          <w:sz w:val="44"/>
          <w:szCs w:val="44"/>
          <w:lang w:val="en-US" w:eastAsia="zh-CN" w:bidi="ar-SA"/>
        </w:rPr>
      </w:pPr>
      <w:r>
        <w:rPr>
          <w:rFonts w:hint="eastAsia" w:ascii="方正小标宋_GBK" w:hAnsi="宋体" w:eastAsia="方正小标宋_GBK" w:cs="Times New Roman"/>
          <w:color w:val="000000"/>
          <w:kern w:val="0"/>
          <w:sz w:val="44"/>
          <w:szCs w:val="44"/>
          <w:lang w:val="en-US" w:eastAsia="zh-CN" w:bidi="ar-SA"/>
        </w:rPr>
        <w:t>农村中小学闲置校地校舍基本情况核查表</w:t>
      </w:r>
    </w:p>
    <w:p>
      <w:pPr>
        <w:widowControl w:val="0"/>
        <w:shd w:val="clear" w:color="auto" w:fill="FFFFFF"/>
        <w:snapToGrid w:val="0"/>
        <w:spacing w:before="0" w:beforeAutospacing="0" w:after="0" w:afterAutospacing="0" w:line="276" w:lineRule="auto"/>
        <w:jc w:val="left"/>
        <w:rPr>
          <w:rFonts w:hint="eastAsia" w:ascii="宋体" w:hAnsi="宋体" w:eastAsia="方正仿宋_GBK" w:cs="Times New Roman"/>
          <w:color w:val="000000"/>
          <w:kern w:val="0"/>
          <w:sz w:val="32"/>
          <w:szCs w:val="24"/>
          <w:lang w:val="en-US" w:eastAsia="zh-CN" w:bidi="ar-SA"/>
        </w:rPr>
      </w:pPr>
      <w:r>
        <w:rPr>
          <w:rFonts w:hint="eastAsia" w:ascii="宋体" w:hAnsi="宋体" w:eastAsia="方正仿宋_GBK" w:cs="Times New Roman"/>
          <w:color w:val="000000"/>
          <w:kern w:val="0"/>
          <w:sz w:val="32"/>
          <w:szCs w:val="24"/>
          <w:lang w:val="en-US" w:eastAsia="zh-CN" w:bidi="ar-SA"/>
        </w:rPr>
        <w:t>填报单位（盖章）：       填报人：        联系手机号码：             时间：2014年  月  日</w:t>
      </w:r>
    </w:p>
    <w:tbl>
      <w:tblPr>
        <w:tblStyle w:val="8"/>
        <w:tblW w:w="0" w:type="auto"/>
        <w:jc w:val="center"/>
        <w:shd w:val="clear" w:color="auto" w:fill="FFFFFF"/>
        <w:tblLayout w:type="autofit"/>
        <w:tblCellMar>
          <w:top w:w="0" w:type="dxa"/>
          <w:left w:w="108" w:type="dxa"/>
          <w:bottom w:w="0" w:type="dxa"/>
          <w:right w:w="108" w:type="dxa"/>
        </w:tblCellMar>
      </w:tblPr>
      <w:tblGrid>
        <w:gridCol w:w="780"/>
        <w:gridCol w:w="577"/>
        <w:gridCol w:w="608"/>
        <w:gridCol w:w="639"/>
        <w:gridCol w:w="546"/>
        <w:gridCol w:w="461"/>
        <w:gridCol w:w="686"/>
        <w:gridCol w:w="687"/>
        <w:gridCol w:w="553"/>
        <w:gridCol w:w="416"/>
        <w:gridCol w:w="680"/>
        <w:gridCol w:w="470"/>
        <w:gridCol w:w="471"/>
        <w:gridCol w:w="475"/>
        <w:gridCol w:w="531"/>
        <w:gridCol w:w="555"/>
        <w:gridCol w:w="559"/>
        <w:gridCol w:w="648"/>
        <w:gridCol w:w="468"/>
        <w:gridCol w:w="454"/>
        <w:gridCol w:w="593"/>
        <w:gridCol w:w="577"/>
        <w:gridCol w:w="947"/>
        <w:gridCol w:w="951"/>
        <w:gridCol w:w="454"/>
      </w:tblGrid>
      <w:tr>
        <w:tblPrEx>
          <w:shd w:val="clear" w:color="auto" w:fill="FFFFFF"/>
          <w:tblCellMar>
            <w:top w:w="0" w:type="dxa"/>
            <w:left w:w="108" w:type="dxa"/>
            <w:bottom w:w="0" w:type="dxa"/>
            <w:right w:w="108" w:type="dxa"/>
          </w:tblCellMar>
        </w:tblPrEx>
        <w:trPr>
          <w:trHeight w:val="189" w:hRule="atLeast"/>
          <w:jc w:val="center"/>
        </w:trPr>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闲置</w:t>
            </w:r>
          </w:p>
          <w:p>
            <w:pPr>
              <w:widowControl/>
              <w:jc w:val="center"/>
              <w:rPr>
                <w:rFonts w:hint="eastAsia" w:ascii="方正仿宋_GBK" w:hAnsi="宋体" w:cs="宋体"/>
                <w:kern w:val="0"/>
                <w:sz w:val="18"/>
                <w:szCs w:val="18"/>
              </w:rPr>
            </w:pPr>
            <w:r>
              <w:rPr>
                <w:rFonts w:hint="eastAsia" w:ascii="方正仿宋_GBK" w:hAnsi="宋体" w:cs="宋体"/>
                <w:kern w:val="0"/>
                <w:sz w:val="18"/>
                <w:szCs w:val="18"/>
              </w:rPr>
              <w:t>学校</w:t>
            </w:r>
          </w:p>
          <w:p>
            <w:pPr>
              <w:widowControl/>
              <w:jc w:val="center"/>
              <w:rPr>
                <w:rFonts w:hint="eastAsia" w:ascii="方正仿宋_GBK" w:hAnsi="宋体" w:cs="宋体"/>
                <w:kern w:val="0"/>
                <w:sz w:val="18"/>
                <w:szCs w:val="18"/>
              </w:rPr>
            </w:pPr>
            <w:r>
              <w:rPr>
                <w:rFonts w:hint="eastAsia" w:ascii="方正仿宋_GBK" w:hAnsi="宋体" w:cs="宋体"/>
                <w:kern w:val="0"/>
                <w:sz w:val="18"/>
                <w:szCs w:val="18"/>
              </w:rPr>
              <w:t>名称</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学校类别</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建校 年份</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学校所在地</w:t>
            </w:r>
          </w:p>
        </w:tc>
        <w:tc>
          <w:tcPr>
            <w:tcW w:w="0" w:type="auto"/>
            <w:gridSpan w:val="5"/>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土地情况</w:t>
            </w:r>
          </w:p>
        </w:tc>
        <w:tc>
          <w:tcPr>
            <w:tcW w:w="0" w:type="auto"/>
            <w:gridSpan w:val="14"/>
            <w:tcBorders>
              <w:top w:val="single" w:color="auto" w:sz="4" w:space="0"/>
              <w:left w:val="nil"/>
              <w:bottom w:val="nil"/>
              <w:right w:val="single" w:color="000000"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校舍情况</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闲置学校是否保留办学</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备注</w:t>
            </w:r>
          </w:p>
        </w:tc>
      </w:tr>
      <w:tr>
        <w:tblPrEx>
          <w:tblCellMar>
            <w:top w:w="0" w:type="dxa"/>
            <w:left w:w="108" w:type="dxa"/>
            <w:bottom w:w="0" w:type="dxa"/>
            <w:right w:w="108" w:type="dxa"/>
          </w:tblCellMar>
        </w:tblPrEx>
        <w:trPr>
          <w:trHeight w:val="642"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方正仿宋_GBK" w:hAnsi="宋体" w:cs="宋体"/>
                <w:kern w:val="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方正仿宋_GBK" w:hAnsi="宋体" w:cs="宋体"/>
                <w:kern w:val="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方正仿宋_GBK" w:hAnsi="宋体" w:cs="宋体"/>
                <w:kern w:val="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方正仿宋_GBK" w:hAnsi="宋体" w:cs="宋体"/>
                <w:kern w:val="0"/>
                <w:sz w:val="18"/>
                <w:szCs w:val="18"/>
              </w:rPr>
            </w:pPr>
          </w:p>
        </w:tc>
        <w:tc>
          <w:tcPr>
            <w:tcW w:w="0" w:type="auto"/>
            <w:vMerge w:val="restart"/>
            <w:tcBorders>
              <w:top w:val="nil"/>
              <w:left w:val="single" w:color="auto" w:sz="4" w:space="0"/>
              <w:bottom w:val="single" w:color="000000"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土</w:t>
            </w:r>
          </w:p>
          <w:p>
            <w:pPr>
              <w:widowControl/>
              <w:jc w:val="center"/>
              <w:rPr>
                <w:rFonts w:hint="eastAsia" w:ascii="方正仿宋_GBK" w:hAnsi="宋体" w:cs="宋体"/>
                <w:kern w:val="0"/>
                <w:sz w:val="18"/>
                <w:szCs w:val="18"/>
              </w:rPr>
            </w:pPr>
            <w:r>
              <w:rPr>
                <w:rFonts w:hint="eastAsia" w:ascii="方正仿宋_GBK" w:hAnsi="宋体" w:cs="宋体"/>
                <w:kern w:val="0"/>
                <w:sz w:val="18"/>
                <w:szCs w:val="18"/>
              </w:rPr>
              <w:t>地</w:t>
            </w:r>
          </w:p>
          <w:p>
            <w:pPr>
              <w:widowControl/>
              <w:jc w:val="center"/>
              <w:rPr>
                <w:rFonts w:hint="eastAsia" w:ascii="方正仿宋_GBK" w:hAnsi="宋体" w:cs="宋体"/>
                <w:kern w:val="0"/>
                <w:sz w:val="18"/>
                <w:szCs w:val="18"/>
              </w:rPr>
            </w:pPr>
            <w:r>
              <w:rPr>
                <w:rFonts w:hint="eastAsia" w:ascii="方正仿宋_GBK" w:hAnsi="宋体" w:cs="宋体"/>
                <w:kern w:val="0"/>
                <w:sz w:val="18"/>
                <w:szCs w:val="18"/>
              </w:rPr>
              <w:t>证   字</w:t>
            </w:r>
          </w:p>
          <w:p>
            <w:pPr>
              <w:widowControl/>
              <w:jc w:val="center"/>
              <w:rPr>
                <w:rFonts w:hint="eastAsia" w:ascii="方正仿宋_GBK" w:hAnsi="宋体" w:cs="宋体"/>
                <w:kern w:val="0"/>
                <w:sz w:val="18"/>
                <w:szCs w:val="18"/>
              </w:rPr>
            </w:pPr>
            <w:r>
              <w:rPr>
                <w:rFonts w:hint="eastAsia" w:ascii="方正仿宋_GBK" w:hAnsi="宋体" w:cs="宋体"/>
                <w:kern w:val="0"/>
                <w:sz w:val="18"/>
                <w:szCs w:val="18"/>
              </w:rPr>
              <w:t>号</w:t>
            </w:r>
          </w:p>
        </w:tc>
        <w:tc>
          <w:tcPr>
            <w:tcW w:w="0" w:type="auto"/>
            <w:vMerge w:val="restart"/>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用</w:t>
            </w:r>
          </w:p>
          <w:p>
            <w:pPr>
              <w:widowControl/>
              <w:jc w:val="center"/>
              <w:rPr>
                <w:rFonts w:hint="eastAsia" w:ascii="方正仿宋_GBK" w:hAnsi="宋体" w:cs="宋体"/>
                <w:kern w:val="0"/>
                <w:sz w:val="18"/>
                <w:szCs w:val="18"/>
              </w:rPr>
            </w:pPr>
            <w:r>
              <w:rPr>
                <w:rFonts w:hint="eastAsia" w:ascii="方正仿宋_GBK" w:hAnsi="宋体" w:cs="宋体"/>
                <w:kern w:val="0"/>
                <w:sz w:val="18"/>
                <w:szCs w:val="18"/>
              </w:rPr>
              <w:t>地</w:t>
            </w:r>
          </w:p>
          <w:p>
            <w:pPr>
              <w:widowControl/>
              <w:jc w:val="center"/>
              <w:rPr>
                <w:rFonts w:hint="eastAsia" w:ascii="方正仿宋_GBK" w:hAnsi="宋体" w:cs="宋体"/>
                <w:kern w:val="0"/>
                <w:sz w:val="18"/>
                <w:szCs w:val="18"/>
              </w:rPr>
            </w:pPr>
            <w:r>
              <w:rPr>
                <w:rFonts w:hint="eastAsia" w:ascii="方正仿宋_GBK" w:hAnsi="宋体" w:cs="宋体"/>
                <w:kern w:val="0"/>
                <w:sz w:val="18"/>
                <w:szCs w:val="18"/>
              </w:rPr>
              <w:t>面</w:t>
            </w:r>
          </w:p>
          <w:p>
            <w:pPr>
              <w:widowControl/>
              <w:jc w:val="center"/>
              <w:rPr>
                <w:rFonts w:hint="eastAsia" w:ascii="方正仿宋_GBK" w:hAnsi="宋体" w:cs="宋体"/>
                <w:kern w:val="0"/>
                <w:sz w:val="18"/>
                <w:szCs w:val="18"/>
              </w:rPr>
            </w:pPr>
            <w:r>
              <w:rPr>
                <w:rFonts w:hint="eastAsia" w:ascii="方正仿宋_GBK" w:hAnsi="宋体" w:cs="宋体"/>
                <w:kern w:val="0"/>
                <w:sz w:val="18"/>
                <w:szCs w:val="18"/>
              </w:rPr>
              <w:t>积m</w:t>
            </w:r>
            <w:r>
              <w:rPr>
                <w:rFonts w:hint="eastAsia" w:ascii="方正仿宋_GBK" w:hAnsi="宋体" w:cs="宋体"/>
                <w:kern w:val="0"/>
                <w:sz w:val="18"/>
                <w:szCs w:val="18"/>
                <w:vertAlign w:val="superscript"/>
              </w:rPr>
              <w:t>2</w:t>
            </w:r>
          </w:p>
        </w:tc>
        <w:tc>
          <w:tcPr>
            <w:tcW w:w="0" w:type="auto"/>
            <w:gridSpan w:val="3"/>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土地办证权属情况       （面积数m</w:t>
            </w:r>
            <w:r>
              <w:rPr>
                <w:rFonts w:hint="eastAsia" w:ascii="方正仿宋_GBK" w:hAnsi="宋体" w:cs="宋体"/>
                <w:kern w:val="0"/>
                <w:sz w:val="18"/>
                <w:szCs w:val="18"/>
                <w:vertAlign w:val="superscript"/>
              </w:rPr>
              <w:t>2</w:t>
            </w:r>
            <w:r>
              <w:rPr>
                <w:rFonts w:hint="eastAsia" w:ascii="方正仿宋_GBK" w:hAnsi="宋体" w:cs="宋体"/>
                <w:kern w:val="0"/>
                <w:sz w:val="18"/>
                <w:szCs w:val="18"/>
              </w:rPr>
              <w:t>）</w:t>
            </w:r>
          </w:p>
        </w:tc>
        <w:tc>
          <w:tcPr>
            <w:tcW w:w="0" w:type="auto"/>
            <w:vMerge w:val="restart"/>
            <w:tcBorders>
              <w:top w:val="single" w:color="auto" w:sz="4" w:space="0"/>
              <w:left w:val="single" w:color="auto" w:sz="4" w:space="0"/>
              <w:bottom w:val="single" w:color="000000"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房</w:t>
            </w:r>
          </w:p>
          <w:p>
            <w:pPr>
              <w:widowControl/>
              <w:jc w:val="center"/>
              <w:rPr>
                <w:rFonts w:hint="eastAsia" w:ascii="方正仿宋_GBK" w:hAnsi="宋体" w:cs="宋体"/>
                <w:kern w:val="0"/>
                <w:sz w:val="18"/>
                <w:szCs w:val="18"/>
              </w:rPr>
            </w:pPr>
            <w:r>
              <w:rPr>
                <w:rFonts w:hint="eastAsia" w:ascii="方正仿宋_GBK" w:hAnsi="宋体" w:cs="宋体"/>
                <w:kern w:val="0"/>
                <w:sz w:val="18"/>
                <w:szCs w:val="18"/>
              </w:rPr>
              <w:t>产</w:t>
            </w:r>
          </w:p>
          <w:p>
            <w:pPr>
              <w:widowControl/>
              <w:jc w:val="center"/>
              <w:rPr>
                <w:rFonts w:hint="eastAsia" w:ascii="方正仿宋_GBK" w:hAnsi="宋体" w:cs="宋体"/>
                <w:kern w:val="0"/>
                <w:sz w:val="18"/>
                <w:szCs w:val="18"/>
              </w:rPr>
            </w:pPr>
            <w:r>
              <w:rPr>
                <w:rFonts w:hint="eastAsia" w:ascii="方正仿宋_GBK" w:hAnsi="宋体" w:cs="宋体"/>
                <w:kern w:val="0"/>
                <w:sz w:val="18"/>
                <w:szCs w:val="18"/>
              </w:rPr>
              <w:t>证</w:t>
            </w:r>
          </w:p>
          <w:p>
            <w:pPr>
              <w:widowControl/>
              <w:jc w:val="center"/>
              <w:rPr>
                <w:rFonts w:hint="eastAsia" w:ascii="方正仿宋_GBK" w:hAnsi="宋体" w:cs="宋体"/>
                <w:kern w:val="0"/>
                <w:sz w:val="18"/>
                <w:szCs w:val="18"/>
              </w:rPr>
            </w:pPr>
            <w:r>
              <w:rPr>
                <w:rFonts w:hint="eastAsia" w:ascii="方正仿宋_GBK" w:hAnsi="宋体" w:cs="宋体"/>
                <w:kern w:val="0"/>
                <w:sz w:val="18"/>
                <w:szCs w:val="18"/>
              </w:rPr>
              <w:t>字</w:t>
            </w:r>
          </w:p>
          <w:p>
            <w:pPr>
              <w:widowControl/>
              <w:jc w:val="center"/>
              <w:rPr>
                <w:rFonts w:hint="eastAsia" w:ascii="方正仿宋_GBK" w:hAnsi="宋体" w:cs="宋体"/>
                <w:kern w:val="0"/>
                <w:sz w:val="18"/>
                <w:szCs w:val="18"/>
              </w:rPr>
            </w:pPr>
            <w:r>
              <w:rPr>
                <w:rFonts w:hint="eastAsia" w:ascii="方正仿宋_GBK" w:hAnsi="宋体" w:cs="宋体"/>
                <w:kern w:val="0"/>
                <w:sz w:val="18"/>
                <w:szCs w:val="18"/>
              </w:rPr>
              <w:t>号</w:t>
            </w:r>
          </w:p>
        </w:tc>
        <w:tc>
          <w:tcPr>
            <w:tcW w:w="0" w:type="auto"/>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建筑面积m</w:t>
            </w:r>
            <w:r>
              <w:rPr>
                <w:rFonts w:hint="eastAsia" w:ascii="方正仿宋_GBK" w:hAnsi="宋体" w:cs="宋体"/>
                <w:kern w:val="0"/>
                <w:sz w:val="18"/>
                <w:szCs w:val="18"/>
                <w:vertAlign w:val="superscript"/>
              </w:rPr>
              <w:t>2</w:t>
            </w:r>
          </w:p>
        </w:tc>
        <w:tc>
          <w:tcPr>
            <w:tcW w:w="0" w:type="auto"/>
            <w:gridSpan w:val="4"/>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按房屋结构面积数m</w:t>
            </w:r>
            <w:r>
              <w:rPr>
                <w:rFonts w:hint="eastAsia" w:ascii="方正仿宋_GBK" w:hAnsi="宋体" w:cs="宋体"/>
                <w:kern w:val="0"/>
                <w:sz w:val="18"/>
                <w:szCs w:val="18"/>
                <w:vertAlign w:val="superscript"/>
              </w:rPr>
              <w:t>2</w:t>
            </w:r>
          </w:p>
        </w:tc>
        <w:tc>
          <w:tcPr>
            <w:tcW w:w="0" w:type="auto"/>
            <w:gridSpan w:val="3"/>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房产办证权属情况（面积数m</w:t>
            </w:r>
            <w:r>
              <w:rPr>
                <w:rFonts w:hint="eastAsia" w:ascii="方正仿宋_GBK" w:hAnsi="宋体" w:cs="宋体"/>
                <w:kern w:val="0"/>
                <w:sz w:val="18"/>
                <w:szCs w:val="18"/>
                <w:vertAlign w:val="superscript"/>
              </w:rPr>
              <w:t>2</w:t>
            </w:r>
            <w:r>
              <w:rPr>
                <w:rFonts w:hint="eastAsia" w:ascii="方正仿宋_GBK" w:hAnsi="宋体" w:cs="宋体"/>
                <w:kern w:val="0"/>
                <w:sz w:val="18"/>
                <w:szCs w:val="18"/>
              </w:rPr>
              <w:t>）</w:t>
            </w:r>
          </w:p>
        </w:tc>
        <w:tc>
          <w:tcPr>
            <w:tcW w:w="0" w:type="auto"/>
            <w:gridSpan w:val="5"/>
            <w:tcBorders>
              <w:top w:val="single" w:color="auto" w:sz="4" w:space="0"/>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校舍现状（面积数m</w:t>
            </w:r>
            <w:r>
              <w:rPr>
                <w:rFonts w:hint="eastAsia" w:ascii="方正仿宋_GBK" w:hAnsi="宋体" w:cs="宋体"/>
                <w:kern w:val="0"/>
                <w:sz w:val="18"/>
                <w:szCs w:val="18"/>
                <w:vertAlign w:val="superscript"/>
              </w:rPr>
              <w:t>2</w:t>
            </w:r>
            <w:r>
              <w:rPr>
                <w:rFonts w:hint="eastAsia" w:ascii="方正仿宋_GBK" w:hAnsi="宋体" w:cs="宋体"/>
                <w:kern w:val="0"/>
                <w:sz w:val="18"/>
                <w:szCs w:val="18"/>
              </w:rPr>
              <w:t>）</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方正仿宋_GBK" w:hAnsi="宋体" w:cs="宋体"/>
                <w:kern w:val="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方正仿宋_GBK" w:hAnsi="宋体" w:cs="宋体"/>
                <w:kern w:val="0"/>
                <w:sz w:val="18"/>
                <w:szCs w:val="18"/>
              </w:rPr>
            </w:pPr>
          </w:p>
        </w:tc>
      </w:tr>
      <w:tr>
        <w:tblPrEx>
          <w:tblCellMar>
            <w:top w:w="0" w:type="dxa"/>
            <w:left w:w="108" w:type="dxa"/>
            <w:bottom w:w="0" w:type="dxa"/>
            <w:right w:w="108" w:type="dxa"/>
          </w:tblCellMar>
        </w:tblPrEx>
        <w:trPr>
          <w:trHeight w:val="707" w:hRule="atLeast"/>
          <w:jc w:val="center"/>
        </w:trPr>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方正仿宋_GBK" w:hAnsi="宋体" w:cs="宋体"/>
                <w:kern w:val="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方正仿宋_GBK" w:hAnsi="宋体" w:cs="宋体"/>
                <w:kern w:val="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方正仿宋_GBK" w:hAnsi="宋体" w:cs="宋体"/>
                <w:kern w:val="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方正仿宋_GBK" w:hAnsi="宋体" w:cs="宋体"/>
                <w:kern w:val="0"/>
                <w:sz w:val="18"/>
                <w:szCs w:val="18"/>
              </w:rPr>
            </w:pPr>
          </w:p>
        </w:tc>
        <w:tc>
          <w:tcPr>
            <w:tcW w:w="0" w:type="auto"/>
            <w:vMerge w:val="continue"/>
            <w:tcBorders>
              <w:top w:val="nil"/>
              <w:left w:val="single" w:color="auto" w:sz="4" w:space="0"/>
              <w:bottom w:val="single" w:color="000000" w:sz="4" w:space="0"/>
              <w:right w:val="single" w:color="auto" w:sz="4" w:space="0"/>
            </w:tcBorders>
            <w:shd w:val="clear" w:color="auto" w:fill="FFFFFF"/>
            <w:noWrap w:val="0"/>
            <w:vAlign w:val="center"/>
          </w:tcPr>
          <w:p>
            <w:pPr>
              <w:widowControl/>
              <w:jc w:val="left"/>
              <w:rPr>
                <w:rFonts w:hint="eastAsia" w:ascii="方正仿宋_GBK" w:hAnsi="宋体" w:cs="宋体"/>
                <w:kern w:val="0"/>
                <w:sz w:val="18"/>
                <w:szCs w:val="18"/>
              </w:rPr>
            </w:pPr>
          </w:p>
        </w:tc>
        <w:tc>
          <w:tcPr>
            <w:tcW w:w="0" w:type="auto"/>
            <w:vMerge w:val="continue"/>
            <w:tcBorders>
              <w:top w:val="nil"/>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方正仿宋_GBK" w:hAnsi="宋体" w:cs="宋体"/>
                <w:kern w:val="0"/>
                <w:sz w:val="18"/>
                <w:szCs w:val="18"/>
              </w:rPr>
            </w:pP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国有</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集体</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未</w:t>
            </w:r>
          </w:p>
          <w:p>
            <w:pPr>
              <w:widowControl/>
              <w:jc w:val="center"/>
              <w:rPr>
                <w:rFonts w:hint="eastAsia" w:ascii="方正仿宋_GBK" w:hAnsi="宋体" w:cs="宋体"/>
                <w:kern w:val="0"/>
                <w:sz w:val="18"/>
                <w:szCs w:val="18"/>
              </w:rPr>
            </w:pPr>
            <w:r>
              <w:rPr>
                <w:rFonts w:hint="eastAsia" w:ascii="方正仿宋_GBK" w:hAnsi="宋体" w:cs="宋体"/>
                <w:kern w:val="0"/>
                <w:sz w:val="18"/>
                <w:szCs w:val="18"/>
              </w:rPr>
              <w:t>确</w:t>
            </w:r>
          </w:p>
          <w:p>
            <w:pPr>
              <w:widowControl/>
              <w:jc w:val="center"/>
              <w:rPr>
                <w:rFonts w:hint="eastAsia" w:ascii="方正仿宋_GBK" w:hAnsi="宋体" w:cs="宋体"/>
                <w:kern w:val="0"/>
                <w:sz w:val="18"/>
                <w:szCs w:val="18"/>
              </w:rPr>
            </w:pPr>
            <w:r>
              <w:rPr>
                <w:rFonts w:hint="eastAsia" w:ascii="方正仿宋_GBK" w:hAnsi="宋体" w:cs="宋体"/>
                <w:kern w:val="0"/>
                <w:sz w:val="18"/>
                <w:szCs w:val="18"/>
              </w:rPr>
              <w:t>权</w:t>
            </w:r>
          </w:p>
        </w:tc>
        <w:tc>
          <w:tcPr>
            <w:tcW w:w="0" w:type="auto"/>
            <w:vMerge w:val="continue"/>
            <w:tcBorders>
              <w:top w:val="single" w:color="auto" w:sz="4" w:space="0"/>
              <w:left w:val="single" w:color="auto" w:sz="4" w:space="0"/>
              <w:bottom w:val="single" w:color="000000" w:sz="4" w:space="0"/>
              <w:right w:val="single" w:color="auto" w:sz="4" w:space="0"/>
            </w:tcBorders>
            <w:shd w:val="clear" w:color="auto" w:fill="FFFFFF"/>
            <w:noWrap w:val="0"/>
            <w:vAlign w:val="center"/>
          </w:tcPr>
          <w:p>
            <w:pPr>
              <w:widowControl/>
              <w:jc w:val="left"/>
              <w:rPr>
                <w:rFonts w:hint="eastAsia" w:ascii="方正仿宋_GBK" w:hAnsi="宋体" w:cs="宋体"/>
                <w:kern w:val="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方正仿宋_GBK" w:hAnsi="宋体" w:cs="宋体"/>
                <w:kern w:val="0"/>
                <w:sz w:val="18"/>
                <w:szCs w:val="18"/>
              </w:rPr>
            </w:pP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框架</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砖混</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砖木</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干打垒</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国有</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集体</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未确权</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租赁</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占用</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闲置管理</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闲置荒废</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村社  单方    已变卖</w:t>
            </w: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方正仿宋_GBK" w:hAnsi="宋体" w:cs="宋体"/>
                <w:kern w:val="0"/>
                <w:sz w:val="18"/>
                <w:szCs w:val="18"/>
              </w:rPr>
            </w:pPr>
          </w:p>
        </w:tc>
        <w:tc>
          <w:tcPr>
            <w:tcW w:w="0" w:type="auto"/>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方正仿宋_GBK" w:hAnsi="宋体" w:cs="宋体"/>
                <w:kern w:val="0"/>
                <w:sz w:val="18"/>
                <w:szCs w:val="18"/>
              </w:rPr>
            </w:pPr>
          </w:p>
        </w:tc>
      </w:tr>
      <w:tr>
        <w:tblPrEx>
          <w:tblCellMar>
            <w:top w:w="0" w:type="dxa"/>
            <w:left w:w="108" w:type="dxa"/>
            <w:bottom w:w="0" w:type="dxa"/>
            <w:right w:w="108" w:type="dxa"/>
          </w:tblCellMar>
        </w:tblPrEx>
        <w:trPr>
          <w:trHeight w:val="397" w:hRule="atLeast"/>
          <w:jc w:val="center"/>
        </w:trPr>
        <w:tc>
          <w:tcPr>
            <w:tcW w:w="0" w:type="auto"/>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xml:space="preserve">1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xml:space="preserve">2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xml:space="preserve">3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xml:space="preserve">4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xml:space="preserve">5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xml:space="preserve">6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xml:space="preserve">7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xml:space="preserve">8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xml:space="preserve">9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xml:space="preserve">10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xml:space="preserve">11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xml:space="preserve">12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xml:space="preserve">13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xml:space="preserve">14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xml:space="preserve">15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xml:space="preserve">16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xml:space="preserve">17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xml:space="preserve">18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xml:space="preserve">19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xml:space="preserve">20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xml:space="preserve">21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xml:space="preserve">22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xml:space="preserve">23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xml:space="preserve">24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xml:space="preserve">25 </w:t>
            </w:r>
          </w:p>
        </w:tc>
      </w:tr>
      <w:tr>
        <w:tblPrEx>
          <w:tblCellMar>
            <w:top w:w="0" w:type="dxa"/>
            <w:left w:w="108" w:type="dxa"/>
            <w:bottom w:w="0" w:type="dxa"/>
            <w:right w:w="108" w:type="dxa"/>
          </w:tblCellMar>
        </w:tblPrEx>
        <w:trPr>
          <w:trHeight w:val="290" w:hRule="atLeast"/>
          <w:jc w:val="center"/>
        </w:trPr>
        <w:tc>
          <w:tcPr>
            <w:tcW w:w="0" w:type="auto"/>
            <w:tcBorders>
              <w:top w:val="nil"/>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方正仿宋_GBK" w:hAnsi="宋体" w:cs="宋体"/>
                <w:bCs/>
                <w:w w:val="90"/>
                <w:kern w:val="0"/>
                <w:sz w:val="18"/>
                <w:szCs w:val="18"/>
              </w:rPr>
            </w:pPr>
            <w:r>
              <w:rPr>
                <w:rFonts w:hint="eastAsia" w:ascii="方正仿宋_GBK" w:hAnsi="宋体" w:cs="宋体"/>
                <w:bCs/>
                <w:w w:val="90"/>
                <w:kern w:val="0"/>
                <w:sz w:val="18"/>
                <w:szCs w:val="18"/>
              </w:rPr>
              <w:t>XXX镇街合计</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nil"/>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single" w:color="auto" w:sz="4" w:space="0"/>
              <w:bottom w:val="single" w:color="auto" w:sz="4" w:space="0"/>
              <w:right w:val="nil"/>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single" w:color="auto" w:sz="4" w:space="0"/>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r>
      <w:tr>
        <w:tblPrEx>
          <w:tblCellMar>
            <w:top w:w="0" w:type="dxa"/>
            <w:left w:w="108" w:type="dxa"/>
            <w:bottom w:w="0" w:type="dxa"/>
            <w:right w:w="108" w:type="dxa"/>
          </w:tblCellMar>
        </w:tblPrEx>
        <w:trPr>
          <w:trHeight w:val="290" w:hRule="atLeast"/>
          <w:jc w:val="center"/>
        </w:trPr>
        <w:tc>
          <w:tcPr>
            <w:tcW w:w="0" w:type="auto"/>
            <w:tcBorders>
              <w:top w:val="nil"/>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方正仿宋_GBK" w:hAnsi="宋体" w:cs="宋体"/>
                <w:kern w:val="0"/>
                <w:sz w:val="18"/>
                <w:szCs w:val="18"/>
              </w:rPr>
            </w:pPr>
            <w:r>
              <w:rPr>
                <w:rFonts w:hint="eastAsia" w:ascii="方正仿宋_GBK" w:hAnsi="宋体" w:cs="宋体"/>
                <w:kern w:val="0"/>
                <w:sz w:val="18"/>
                <w:szCs w:val="18"/>
              </w:rPr>
              <w:t>XXXX学校</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nil"/>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single" w:color="auto" w:sz="4" w:space="0"/>
              <w:bottom w:val="single" w:color="auto" w:sz="4" w:space="0"/>
              <w:right w:val="nil"/>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single" w:color="auto" w:sz="4" w:space="0"/>
              <w:bottom w:val="single" w:color="auto" w:sz="4" w:space="0"/>
              <w:right w:val="single" w:color="auto" w:sz="4" w:space="0"/>
            </w:tcBorders>
            <w:shd w:val="clear" w:color="auto" w:fill="FFFFFF"/>
            <w:noWrap/>
            <w:vAlign w:val="center"/>
          </w:tcPr>
          <w:p>
            <w:pPr>
              <w:widowControl/>
              <w:jc w:val="left"/>
              <w:rPr>
                <w:rFonts w:hint="eastAsia" w:ascii="方正仿宋_GBK" w:hAnsi="宋体" w:cs="宋体"/>
                <w:kern w:val="0"/>
                <w:sz w:val="18"/>
                <w:szCs w:val="18"/>
              </w:rPr>
            </w:pPr>
            <w:r>
              <w:rPr>
                <w:rFonts w:hint="eastAsia" w:ascii="方正仿宋_GBK" w:hAnsi="宋体" w:cs="宋体"/>
                <w:kern w:val="0"/>
                <w:sz w:val="18"/>
                <w:szCs w:val="18"/>
              </w:rPr>
              <w:t>　</w:t>
            </w:r>
          </w:p>
        </w:tc>
      </w:tr>
      <w:tr>
        <w:tblPrEx>
          <w:tblCellMar>
            <w:top w:w="0" w:type="dxa"/>
            <w:left w:w="108" w:type="dxa"/>
            <w:bottom w:w="0" w:type="dxa"/>
            <w:right w:w="108" w:type="dxa"/>
          </w:tblCellMar>
        </w:tblPrEx>
        <w:trPr>
          <w:trHeight w:val="290" w:hRule="atLeast"/>
          <w:jc w:val="center"/>
        </w:trPr>
        <w:tc>
          <w:tcPr>
            <w:tcW w:w="0" w:type="auto"/>
            <w:tcBorders>
              <w:top w:val="nil"/>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方正仿宋_GBK" w:hAnsi="宋体" w:cs="宋体"/>
                <w:kern w:val="0"/>
                <w:sz w:val="18"/>
                <w:szCs w:val="18"/>
              </w:rPr>
            </w:pPr>
            <w:r>
              <w:rPr>
                <w:rFonts w:hint="eastAsia" w:ascii="方正仿宋_GBK" w:hAnsi="宋体" w:cs="宋体"/>
                <w:kern w:val="0"/>
                <w:sz w:val="18"/>
                <w:szCs w:val="18"/>
              </w:rPr>
              <w:t>…….</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nil"/>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single" w:color="auto" w:sz="4" w:space="0"/>
              <w:bottom w:val="single" w:color="auto" w:sz="4" w:space="0"/>
              <w:right w:val="nil"/>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single" w:color="auto" w:sz="4" w:space="0"/>
              <w:bottom w:val="single" w:color="auto" w:sz="4" w:space="0"/>
              <w:right w:val="single" w:color="auto" w:sz="4" w:space="0"/>
            </w:tcBorders>
            <w:shd w:val="clear" w:color="auto" w:fill="FFFFFF"/>
            <w:noWrap/>
            <w:vAlign w:val="center"/>
          </w:tcPr>
          <w:p>
            <w:pPr>
              <w:widowControl/>
              <w:jc w:val="left"/>
              <w:rPr>
                <w:rFonts w:hint="eastAsia" w:ascii="方正仿宋_GBK" w:hAnsi="宋体" w:cs="宋体"/>
                <w:kern w:val="0"/>
                <w:sz w:val="18"/>
                <w:szCs w:val="18"/>
              </w:rPr>
            </w:pPr>
            <w:r>
              <w:rPr>
                <w:rFonts w:hint="eastAsia" w:ascii="方正仿宋_GBK" w:hAnsi="宋体" w:cs="宋体"/>
                <w:kern w:val="0"/>
                <w:sz w:val="18"/>
                <w:szCs w:val="18"/>
              </w:rPr>
              <w:t>　</w:t>
            </w:r>
          </w:p>
        </w:tc>
      </w:tr>
      <w:tr>
        <w:tblPrEx>
          <w:tblCellMar>
            <w:top w:w="0" w:type="dxa"/>
            <w:left w:w="108" w:type="dxa"/>
            <w:bottom w:w="0" w:type="dxa"/>
            <w:right w:w="108" w:type="dxa"/>
          </w:tblCellMar>
        </w:tblPrEx>
        <w:trPr>
          <w:trHeight w:val="290" w:hRule="atLeast"/>
          <w:jc w:val="center"/>
        </w:trPr>
        <w:tc>
          <w:tcPr>
            <w:tcW w:w="0" w:type="auto"/>
            <w:tcBorders>
              <w:top w:val="nil"/>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方正仿宋_GBK" w:hAnsi="宋体" w:cs="宋体"/>
                <w:kern w:val="0"/>
                <w:sz w:val="18"/>
                <w:szCs w:val="18"/>
              </w:rPr>
            </w:pPr>
            <w:r>
              <w:rPr>
                <w:rFonts w:hint="eastAsia" w:ascii="方正仿宋_GBK" w:hAnsi="宋体" w:cs="宋体"/>
                <w:kern w:val="0"/>
                <w:sz w:val="18"/>
                <w:szCs w:val="18"/>
              </w:rPr>
              <w:t>……</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single" w:color="auto" w:sz="4" w:space="0"/>
              <w:right w:val="nil"/>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single" w:color="auto" w:sz="4" w:space="0"/>
              <w:bottom w:val="single" w:color="auto" w:sz="4" w:space="0"/>
              <w:right w:val="nil"/>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single" w:color="auto" w:sz="4" w:space="0"/>
              <w:bottom w:val="single" w:color="auto" w:sz="4" w:space="0"/>
              <w:right w:val="single" w:color="auto" w:sz="4" w:space="0"/>
            </w:tcBorders>
            <w:shd w:val="clear" w:color="auto" w:fill="FFFFFF"/>
            <w:noWrap/>
            <w:vAlign w:val="center"/>
          </w:tcPr>
          <w:p>
            <w:pPr>
              <w:widowControl/>
              <w:jc w:val="left"/>
              <w:rPr>
                <w:rFonts w:hint="eastAsia" w:ascii="方正仿宋_GBK" w:hAnsi="宋体" w:cs="宋体"/>
                <w:kern w:val="0"/>
                <w:sz w:val="18"/>
                <w:szCs w:val="18"/>
              </w:rPr>
            </w:pPr>
            <w:r>
              <w:rPr>
                <w:rFonts w:hint="eastAsia" w:ascii="方正仿宋_GBK" w:hAnsi="宋体" w:cs="宋体"/>
                <w:kern w:val="0"/>
                <w:sz w:val="18"/>
                <w:szCs w:val="18"/>
              </w:rPr>
              <w:t>　</w:t>
            </w:r>
          </w:p>
        </w:tc>
      </w:tr>
      <w:tr>
        <w:tblPrEx>
          <w:tblCellMar>
            <w:top w:w="0" w:type="dxa"/>
            <w:left w:w="108" w:type="dxa"/>
            <w:bottom w:w="0" w:type="dxa"/>
            <w:right w:w="108" w:type="dxa"/>
          </w:tblCellMar>
        </w:tblPrEx>
        <w:trPr>
          <w:trHeight w:val="290" w:hRule="atLeast"/>
          <w:jc w:val="center"/>
        </w:trPr>
        <w:tc>
          <w:tcPr>
            <w:tcW w:w="0" w:type="auto"/>
            <w:tcBorders>
              <w:top w:val="nil"/>
              <w:left w:val="single" w:color="auto" w:sz="4" w:space="0"/>
              <w:bottom w:val="nil"/>
              <w:right w:val="single" w:color="auto" w:sz="4" w:space="0"/>
            </w:tcBorders>
            <w:shd w:val="clear" w:color="auto" w:fill="FFFFFF"/>
            <w:noWrap w:val="0"/>
            <w:vAlign w:val="center"/>
          </w:tcPr>
          <w:p>
            <w:pPr>
              <w:widowControl/>
              <w:jc w:val="left"/>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nil"/>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nil"/>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nil"/>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nil"/>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nil"/>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nil"/>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nil"/>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nil"/>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nil"/>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nil"/>
              <w:bottom w:val="nil"/>
              <w:right w:val="nil"/>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single" w:color="auto" w:sz="4" w:space="0"/>
              <w:bottom w:val="nil"/>
              <w:right w:val="nil"/>
            </w:tcBorders>
            <w:shd w:val="clear" w:color="auto" w:fill="FFFFFF"/>
            <w:noWrap/>
            <w:vAlign w:val="center"/>
          </w:tcPr>
          <w:p>
            <w:pPr>
              <w:widowControl/>
              <w:jc w:val="center"/>
              <w:rPr>
                <w:rFonts w:hint="eastAsia" w:ascii="方正仿宋_GBK" w:hAnsi="宋体" w:cs="宋体"/>
                <w:kern w:val="0"/>
                <w:sz w:val="18"/>
                <w:szCs w:val="18"/>
              </w:rPr>
            </w:pPr>
            <w:r>
              <w:rPr>
                <w:rFonts w:hint="eastAsia" w:ascii="方正仿宋_GBK" w:hAnsi="宋体" w:cs="宋体"/>
                <w:kern w:val="0"/>
                <w:sz w:val="18"/>
                <w:szCs w:val="18"/>
              </w:rPr>
              <w:t>　</w:t>
            </w:r>
          </w:p>
        </w:tc>
        <w:tc>
          <w:tcPr>
            <w:tcW w:w="0" w:type="auto"/>
            <w:tcBorders>
              <w:top w:val="nil"/>
              <w:left w:val="single" w:color="auto" w:sz="4" w:space="0"/>
              <w:bottom w:val="nil"/>
              <w:right w:val="single" w:color="auto" w:sz="4" w:space="0"/>
            </w:tcBorders>
            <w:shd w:val="clear" w:color="auto" w:fill="FFFFFF"/>
            <w:noWrap/>
            <w:vAlign w:val="center"/>
          </w:tcPr>
          <w:p>
            <w:pPr>
              <w:widowControl/>
              <w:jc w:val="left"/>
              <w:rPr>
                <w:rFonts w:hint="eastAsia" w:ascii="方正仿宋_GBK" w:hAnsi="宋体" w:cs="宋体"/>
                <w:kern w:val="0"/>
                <w:sz w:val="18"/>
                <w:szCs w:val="18"/>
              </w:rPr>
            </w:pPr>
            <w:r>
              <w:rPr>
                <w:rFonts w:hint="eastAsia" w:ascii="方正仿宋_GBK" w:hAnsi="宋体" w:cs="宋体"/>
                <w:kern w:val="0"/>
                <w:sz w:val="18"/>
                <w:szCs w:val="18"/>
              </w:rPr>
              <w:t>　</w:t>
            </w:r>
          </w:p>
        </w:tc>
      </w:tr>
      <w:tr>
        <w:tblPrEx>
          <w:tblCellMar>
            <w:top w:w="0" w:type="dxa"/>
            <w:left w:w="108" w:type="dxa"/>
            <w:bottom w:w="0" w:type="dxa"/>
            <w:right w:w="108" w:type="dxa"/>
          </w:tblCellMar>
        </w:tblPrEx>
        <w:trPr>
          <w:trHeight w:val="290" w:hRule="atLeast"/>
          <w:jc w:val="center"/>
        </w:trPr>
        <w:tc>
          <w:tcPr>
            <w:tcW w:w="0" w:type="auto"/>
            <w:tcBorders>
              <w:top w:val="nil"/>
              <w:left w:val="single" w:color="auto" w:sz="4" w:space="0"/>
              <w:bottom w:val="nil"/>
              <w:right w:val="single" w:color="auto" w:sz="4" w:space="0"/>
            </w:tcBorders>
            <w:shd w:val="clear" w:color="auto" w:fill="FFFFFF"/>
            <w:noWrap w:val="0"/>
            <w:vAlign w:val="center"/>
          </w:tcPr>
          <w:p>
            <w:pPr>
              <w:widowControl/>
              <w:jc w:val="left"/>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nil"/>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single" w:color="auto" w:sz="4" w:space="0"/>
              <w:bottom w:val="nil"/>
              <w:right w:val="nil"/>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single" w:color="auto" w:sz="4" w:space="0"/>
              <w:bottom w:val="nil"/>
              <w:right w:val="single" w:color="auto" w:sz="4" w:space="0"/>
            </w:tcBorders>
            <w:shd w:val="clear" w:color="auto" w:fill="FFFFFF"/>
            <w:noWrap/>
            <w:vAlign w:val="center"/>
          </w:tcPr>
          <w:p>
            <w:pPr>
              <w:widowControl/>
              <w:jc w:val="left"/>
              <w:rPr>
                <w:rFonts w:hint="eastAsia" w:ascii="方正仿宋_GBK" w:hAnsi="宋体" w:cs="宋体"/>
                <w:kern w:val="0"/>
                <w:sz w:val="18"/>
                <w:szCs w:val="18"/>
              </w:rPr>
            </w:pPr>
          </w:p>
        </w:tc>
      </w:tr>
      <w:tr>
        <w:tblPrEx>
          <w:tblCellMar>
            <w:top w:w="0" w:type="dxa"/>
            <w:left w:w="108" w:type="dxa"/>
            <w:bottom w:w="0" w:type="dxa"/>
            <w:right w:w="108" w:type="dxa"/>
          </w:tblCellMar>
        </w:tblPrEx>
        <w:trPr>
          <w:trHeight w:val="290" w:hRule="atLeast"/>
          <w:jc w:val="center"/>
        </w:trPr>
        <w:tc>
          <w:tcPr>
            <w:tcW w:w="0" w:type="auto"/>
            <w:tcBorders>
              <w:top w:val="nil"/>
              <w:left w:val="single" w:color="auto" w:sz="4" w:space="0"/>
              <w:bottom w:val="nil"/>
              <w:right w:val="single" w:color="auto" w:sz="4" w:space="0"/>
            </w:tcBorders>
            <w:shd w:val="clear" w:color="auto" w:fill="FFFFFF"/>
            <w:noWrap w:val="0"/>
            <w:vAlign w:val="center"/>
          </w:tcPr>
          <w:p>
            <w:pPr>
              <w:widowControl/>
              <w:jc w:val="left"/>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nil"/>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single" w:color="auto" w:sz="4" w:space="0"/>
              <w:bottom w:val="nil"/>
              <w:right w:val="nil"/>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single" w:color="auto" w:sz="4" w:space="0"/>
              <w:bottom w:val="nil"/>
              <w:right w:val="single" w:color="auto" w:sz="4" w:space="0"/>
            </w:tcBorders>
            <w:shd w:val="clear" w:color="auto" w:fill="FFFFFF"/>
            <w:noWrap/>
            <w:vAlign w:val="center"/>
          </w:tcPr>
          <w:p>
            <w:pPr>
              <w:widowControl/>
              <w:jc w:val="left"/>
              <w:rPr>
                <w:rFonts w:hint="eastAsia" w:ascii="方正仿宋_GBK" w:hAnsi="宋体" w:cs="宋体"/>
                <w:kern w:val="0"/>
                <w:sz w:val="18"/>
                <w:szCs w:val="18"/>
              </w:rPr>
            </w:pPr>
          </w:p>
        </w:tc>
      </w:tr>
      <w:tr>
        <w:tblPrEx>
          <w:tblCellMar>
            <w:top w:w="0" w:type="dxa"/>
            <w:left w:w="108" w:type="dxa"/>
            <w:bottom w:w="0" w:type="dxa"/>
            <w:right w:w="108" w:type="dxa"/>
          </w:tblCellMar>
        </w:tblPrEx>
        <w:trPr>
          <w:trHeight w:val="290" w:hRule="atLeast"/>
          <w:jc w:val="center"/>
        </w:trPr>
        <w:tc>
          <w:tcPr>
            <w:tcW w:w="0" w:type="auto"/>
            <w:tcBorders>
              <w:top w:val="nil"/>
              <w:left w:val="single" w:color="auto" w:sz="4" w:space="0"/>
              <w:bottom w:val="nil"/>
              <w:right w:val="single" w:color="auto" w:sz="4" w:space="0"/>
            </w:tcBorders>
            <w:shd w:val="clear" w:color="auto" w:fill="FFFFFF"/>
            <w:noWrap w:val="0"/>
            <w:vAlign w:val="center"/>
          </w:tcPr>
          <w:p>
            <w:pPr>
              <w:widowControl/>
              <w:jc w:val="left"/>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nil"/>
              <w:bottom w:val="nil"/>
              <w:right w:val="nil"/>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single" w:color="auto" w:sz="4" w:space="0"/>
              <w:bottom w:val="nil"/>
              <w:right w:val="nil"/>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single" w:color="auto" w:sz="4" w:space="0"/>
              <w:bottom w:val="nil"/>
              <w:right w:val="single" w:color="auto" w:sz="4" w:space="0"/>
            </w:tcBorders>
            <w:shd w:val="clear" w:color="auto" w:fill="FFFFFF"/>
            <w:noWrap/>
            <w:vAlign w:val="center"/>
          </w:tcPr>
          <w:p>
            <w:pPr>
              <w:widowControl/>
              <w:jc w:val="left"/>
              <w:rPr>
                <w:rFonts w:hint="eastAsia" w:ascii="方正仿宋_GBK" w:hAnsi="宋体" w:cs="宋体"/>
                <w:kern w:val="0"/>
                <w:sz w:val="18"/>
                <w:szCs w:val="18"/>
              </w:rPr>
            </w:pPr>
          </w:p>
        </w:tc>
      </w:tr>
      <w:tr>
        <w:tblPrEx>
          <w:tblCellMar>
            <w:top w:w="0" w:type="dxa"/>
            <w:left w:w="108" w:type="dxa"/>
            <w:bottom w:w="0" w:type="dxa"/>
            <w:right w:w="108" w:type="dxa"/>
          </w:tblCellMar>
        </w:tblPrEx>
        <w:trPr>
          <w:trHeight w:val="290" w:hRule="atLeast"/>
          <w:jc w:val="center"/>
        </w:trPr>
        <w:tc>
          <w:tcPr>
            <w:tcW w:w="0" w:type="auto"/>
            <w:tcBorders>
              <w:top w:val="nil"/>
              <w:left w:val="single" w:color="auto" w:sz="4" w:space="0"/>
              <w:bottom w:val="single" w:color="auto" w:sz="4" w:space="0"/>
              <w:right w:val="single" w:color="auto" w:sz="4" w:space="0"/>
            </w:tcBorders>
            <w:shd w:val="clear" w:color="auto" w:fill="FFFFFF"/>
            <w:noWrap w:val="0"/>
            <w:vAlign w:val="center"/>
          </w:tcPr>
          <w:p>
            <w:pPr>
              <w:widowControl/>
              <w:jc w:val="left"/>
              <w:rPr>
                <w:rFonts w:hint="eastAsia" w:ascii="方正仿宋_GBK" w:hAnsi="宋体" w:cs="宋体"/>
                <w:kern w:val="0"/>
                <w:sz w:val="18"/>
                <w:szCs w:val="18"/>
              </w:rPr>
            </w:pP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nil"/>
              <w:bottom w:val="single" w:color="auto" w:sz="4" w:space="0"/>
              <w:right w:val="single" w:color="auto" w:sz="4" w:space="0"/>
            </w:tcBorders>
            <w:shd w:val="clear" w:color="auto" w:fill="FFFFFF"/>
            <w:noWrap w:val="0"/>
            <w:vAlign w:val="center"/>
          </w:tcPr>
          <w:p>
            <w:pPr>
              <w:widowControl/>
              <w:jc w:val="center"/>
              <w:rPr>
                <w:rFonts w:hint="eastAsia" w:ascii="方正仿宋_GBK" w:hAnsi="宋体" w:cs="宋体"/>
                <w:kern w:val="0"/>
                <w:sz w:val="18"/>
                <w:szCs w:val="18"/>
              </w:rPr>
            </w:pPr>
          </w:p>
        </w:tc>
        <w:tc>
          <w:tcPr>
            <w:tcW w:w="0" w:type="auto"/>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nil"/>
              <w:bottom w:val="single" w:color="auto" w:sz="4" w:space="0"/>
              <w:right w:val="single" w:color="auto" w:sz="4" w:space="0"/>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nil"/>
              <w:bottom w:val="single" w:color="auto" w:sz="4" w:space="0"/>
              <w:right w:val="nil"/>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single" w:color="auto" w:sz="4" w:space="0"/>
              <w:bottom w:val="single" w:color="auto" w:sz="4" w:space="0"/>
              <w:right w:val="nil"/>
            </w:tcBorders>
            <w:shd w:val="clear" w:color="auto" w:fill="FFFFFF"/>
            <w:noWrap/>
            <w:vAlign w:val="center"/>
          </w:tcPr>
          <w:p>
            <w:pPr>
              <w:widowControl/>
              <w:jc w:val="center"/>
              <w:rPr>
                <w:rFonts w:hint="eastAsia" w:ascii="方正仿宋_GBK" w:hAnsi="宋体" w:cs="宋体"/>
                <w:kern w:val="0"/>
                <w:sz w:val="18"/>
                <w:szCs w:val="18"/>
              </w:rPr>
            </w:pPr>
          </w:p>
        </w:tc>
        <w:tc>
          <w:tcPr>
            <w:tcW w:w="0" w:type="auto"/>
            <w:tcBorders>
              <w:top w:val="nil"/>
              <w:left w:val="single" w:color="auto" w:sz="4" w:space="0"/>
              <w:bottom w:val="single" w:color="auto" w:sz="4" w:space="0"/>
              <w:right w:val="single" w:color="auto" w:sz="4" w:space="0"/>
            </w:tcBorders>
            <w:shd w:val="clear" w:color="auto" w:fill="FFFFFF"/>
            <w:noWrap/>
            <w:vAlign w:val="center"/>
          </w:tcPr>
          <w:p>
            <w:pPr>
              <w:widowControl/>
              <w:jc w:val="left"/>
              <w:rPr>
                <w:rFonts w:hint="eastAsia" w:ascii="方正仿宋_GBK" w:hAnsi="宋体" w:cs="宋体"/>
                <w:kern w:val="0"/>
                <w:sz w:val="18"/>
                <w:szCs w:val="18"/>
              </w:rPr>
            </w:pPr>
          </w:p>
        </w:tc>
      </w:tr>
    </w:tbl>
    <w:p>
      <w:pPr>
        <w:widowControl w:val="0"/>
        <w:shd w:val="clear" w:color="auto" w:fill="FFFFFF"/>
        <w:adjustRightInd w:val="0"/>
        <w:snapToGrid w:val="0"/>
        <w:spacing w:before="0" w:beforeAutospacing="0" w:after="0" w:afterAutospacing="0"/>
        <w:ind w:firstLine="198"/>
        <w:jc w:val="left"/>
        <w:rPr>
          <w:rFonts w:hint="eastAsia" w:ascii="方正仿宋_GBK" w:hAnsi="宋体" w:eastAsia="方正仿宋_GBK" w:cs="Times New Roman"/>
          <w:color w:val="000000"/>
          <w:kern w:val="0"/>
          <w:sz w:val="21"/>
          <w:szCs w:val="21"/>
          <w:lang w:val="en-US" w:eastAsia="zh-CN" w:bidi="ar-SA"/>
        </w:rPr>
      </w:pPr>
      <w:r>
        <w:rPr>
          <w:rFonts w:hint="eastAsia" w:ascii="方正仿宋_GBK" w:hAnsi="宋体" w:eastAsia="方正仿宋_GBK" w:cs="Times New Roman"/>
          <w:color w:val="000000"/>
          <w:kern w:val="0"/>
          <w:sz w:val="21"/>
          <w:szCs w:val="21"/>
          <w:lang w:val="en-US" w:eastAsia="zh-CN" w:bidi="ar-SA"/>
        </w:rPr>
        <w:t>备注：1.填报范围：在中小学校布局结构调整中被撤并停办的农村校舍校地。2.填报要求：涉及单位务必高度重视，认真如实填报此表，为闲置学校的处置提供可靠的依据，镇街学校由教管中心负责汇总核实上报，纸质表和电子表同时上报。2.指标解释：本表以校点为单位填报；闲置土地和校舍的权属、面积要根据所办土地证和房产证上的记载进行登记，但已拆除和倒塌的房屋面积应剔除不计算，请在备注栏注明房屋结构和面积数；未办证的填入“未确权”内；“学校类别”填中心小学、村小、初中等；“土地证字号”、“房产证字号”必须填完整，包括文字和数字代码，一个学校有多个证的分别填列显示；“闲置学校是否保留办学”，是填“1”，否填“0”；“村社单方已变卖”填列未经校方同意，未与校方办理交接手续而私自出售的面积。  3.表间栏目关系：6＝7+8+9，11＝12+13+14+15＝16+17+18＝19+20+21+22+23。</w:t>
      </w:r>
    </w:p>
    <w:p>
      <w:pPr>
        <w:widowControl w:val="0"/>
        <w:shd w:val="clear" w:color="auto" w:fill="FFFFFF"/>
        <w:snapToGrid w:val="0"/>
        <w:spacing w:before="0" w:beforeAutospacing="0" w:after="0" w:afterAutospacing="0" w:line="276" w:lineRule="auto"/>
        <w:jc w:val="both"/>
        <w:rPr>
          <w:rFonts w:hint="eastAsia" w:ascii="方正黑体_GBK" w:hAnsi="宋体" w:eastAsia="方正黑体_GBK" w:cs="Times New Roman"/>
          <w:color w:val="000000"/>
          <w:kern w:val="0"/>
          <w:sz w:val="32"/>
          <w:szCs w:val="24"/>
          <w:lang w:val="en-US" w:eastAsia="zh-CN" w:bidi="ar-SA"/>
        </w:rPr>
      </w:pPr>
      <w:r>
        <w:rPr>
          <w:rFonts w:ascii="宋体" w:hAnsi="宋体" w:eastAsia="方正仿宋_GBK" w:cs="Times New Roman"/>
          <w:color w:val="000000"/>
          <w:kern w:val="0"/>
          <w:sz w:val="32"/>
          <w:szCs w:val="24"/>
          <w:lang w:val="en-US" w:eastAsia="zh-CN" w:bidi="ar-SA"/>
        </w:rPr>
        <w:br w:type="page"/>
      </w:r>
      <w:r>
        <w:rPr>
          <w:rFonts w:hint="eastAsia" w:ascii="方正黑体_GBK" w:hAnsi="宋体" w:eastAsia="方正黑体_GBK" w:cs="Times New Roman"/>
          <w:color w:val="000000"/>
          <w:kern w:val="0"/>
          <w:sz w:val="32"/>
          <w:szCs w:val="24"/>
          <w:lang w:val="en-US" w:eastAsia="zh-CN" w:bidi="ar-SA"/>
        </w:rPr>
        <w:t>附件2</w:t>
      </w:r>
    </w:p>
    <w:p>
      <w:pPr>
        <w:widowControl w:val="0"/>
        <w:shd w:val="clear" w:color="auto" w:fill="FFFFFF"/>
        <w:snapToGrid w:val="0"/>
        <w:spacing w:before="0" w:beforeAutospacing="0" w:after="0" w:afterAutospacing="0" w:line="264" w:lineRule="auto"/>
        <w:jc w:val="center"/>
        <w:rPr>
          <w:rFonts w:hint="eastAsia" w:ascii="方正小标宋_GBK" w:hAnsi="宋体" w:eastAsia="方正小标宋_GBK" w:cs="Times New Roman"/>
          <w:color w:val="000000"/>
          <w:kern w:val="0"/>
          <w:sz w:val="44"/>
          <w:szCs w:val="44"/>
          <w:lang w:val="en-US" w:eastAsia="zh-CN" w:bidi="ar-SA"/>
        </w:rPr>
      </w:pPr>
      <w:r>
        <w:rPr>
          <w:rFonts w:hint="eastAsia" w:ascii="方正小标宋_GBK" w:hAnsi="宋体" w:eastAsia="方正小标宋_GBK" w:cs="Times New Roman"/>
          <w:color w:val="000000"/>
          <w:kern w:val="0"/>
          <w:sz w:val="44"/>
          <w:szCs w:val="44"/>
          <w:lang w:val="en-US" w:eastAsia="zh-CN" w:bidi="ar-SA"/>
        </w:rPr>
        <w:t>农村教育闲置资产盘活利用收益使用情况统计表</w:t>
      </w:r>
    </w:p>
    <w:p>
      <w:pPr>
        <w:widowControl w:val="0"/>
        <w:shd w:val="clear" w:color="auto" w:fill="FFFFFF"/>
        <w:snapToGrid w:val="0"/>
        <w:spacing w:before="0" w:beforeAutospacing="0" w:after="0" w:afterAutospacing="0" w:line="276" w:lineRule="auto"/>
        <w:jc w:val="left"/>
        <w:rPr>
          <w:rFonts w:hint="eastAsia" w:ascii="宋体" w:hAnsi="宋体" w:eastAsia="方正仿宋_GBK" w:cs="Times New Roman"/>
          <w:color w:val="000000"/>
          <w:kern w:val="0"/>
          <w:sz w:val="32"/>
          <w:szCs w:val="24"/>
          <w:lang w:val="en-US" w:eastAsia="zh-CN" w:bidi="ar-SA"/>
        </w:rPr>
      </w:pPr>
      <w:r>
        <w:rPr>
          <w:rFonts w:hint="eastAsia" w:ascii="宋体" w:hAnsi="宋体" w:eastAsia="方正仿宋_GBK" w:cs="Times New Roman"/>
          <w:color w:val="000000"/>
          <w:kern w:val="0"/>
          <w:sz w:val="32"/>
          <w:szCs w:val="24"/>
          <w:lang w:val="en-US" w:eastAsia="zh-CN" w:bidi="ar-SA"/>
        </w:rPr>
        <w:t>填报单位（盖章）：       填报人：        联系手机号码：             时间：2014年  月  日</w:t>
      </w:r>
    </w:p>
    <w:tbl>
      <w:tblPr>
        <w:tblStyle w:val="8"/>
        <w:tblW w:w="15744" w:type="dxa"/>
        <w:jc w:val="center"/>
        <w:tblLayout w:type="autofit"/>
        <w:tblCellMar>
          <w:top w:w="0" w:type="dxa"/>
          <w:left w:w="108" w:type="dxa"/>
          <w:bottom w:w="0" w:type="dxa"/>
          <w:right w:w="108" w:type="dxa"/>
        </w:tblCellMar>
      </w:tblPr>
      <w:tblGrid>
        <w:gridCol w:w="1274"/>
        <w:gridCol w:w="1110"/>
        <w:gridCol w:w="1221"/>
        <w:gridCol w:w="1346"/>
        <w:gridCol w:w="1512"/>
        <w:gridCol w:w="1507"/>
        <w:gridCol w:w="1071"/>
        <w:gridCol w:w="1348"/>
        <w:gridCol w:w="1071"/>
        <w:gridCol w:w="1071"/>
        <w:gridCol w:w="1071"/>
        <w:gridCol w:w="1071"/>
        <w:gridCol w:w="1071"/>
      </w:tblGrid>
      <w:tr>
        <w:tblPrEx>
          <w:tblCellMar>
            <w:top w:w="0" w:type="dxa"/>
            <w:left w:w="108" w:type="dxa"/>
            <w:bottom w:w="0" w:type="dxa"/>
            <w:right w:w="108" w:type="dxa"/>
          </w:tblCellMar>
        </w:tblPrEx>
        <w:trPr>
          <w:trHeight w:val="428" w:hRule="atLeast"/>
          <w:jc w:val="center"/>
        </w:trPr>
        <w:tc>
          <w:tcPr>
            <w:tcW w:w="1274"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闲置学校   名称</w:t>
            </w:r>
          </w:p>
        </w:tc>
        <w:tc>
          <w:tcPr>
            <w:tcW w:w="111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pPr>
              <w:widowControl/>
              <w:jc w:val="center"/>
              <w:rPr>
                <w:rFonts w:ascii="宋体" w:hAnsi="宋体" w:eastAsia="宋体" w:cs="宋体"/>
                <w:kern w:val="0"/>
                <w:sz w:val="22"/>
                <w:szCs w:val="22"/>
              </w:rPr>
            </w:pPr>
            <w:r>
              <w:rPr>
                <w:rFonts w:hint="eastAsia" w:ascii="宋体" w:hAnsi="宋体" w:eastAsia="宋体" w:cs="宋体"/>
                <w:kern w:val="0"/>
                <w:sz w:val="22"/>
                <w:szCs w:val="22"/>
              </w:rPr>
              <w:t>学校类别</w:t>
            </w:r>
          </w:p>
        </w:tc>
        <w:tc>
          <w:tcPr>
            <w:tcW w:w="122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建校年份</w:t>
            </w:r>
          </w:p>
        </w:tc>
        <w:tc>
          <w:tcPr>
            <w:tcW w:w="1346"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学校所在地</w:t>
            </w:r>
          </w:p>
        </w:tc>
        <w:tc>
          <w:tcPr>
            <w:tcW w:w="1512"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校园占地面积（m</w:t>
            </w:r>
            <w:r>
              <w:rPr>
                <w:rFonts w:hint="eastAsia" w:ascii="宋体" w:hAnsi="宋体" w:eastAsia="宋体" w:cs="宋体"/>
                <w:color w:val="000000"/>
                <w:kern w:val="0"/>
                <w:sz w:val="22"/>
                <w:szCs w:val="22"/>
                <w:vertAlign w:val="superscript"/>
              </w:rPr>
              <w:t>2</w:t>
            </w:r>
            <w:r>
              <w:rPr>
                <w:rFonts w:hint="eastAsia" w:ascii="宋体" w:hAnsi="宋体" w:eastAsia="宋体" w:cs="宋体"/>
                <w:color w:val="000000"/>
                <w:kern w:val="0"/>
                <w:sz w:val="22"/>
                <w:szCs w:val="22"/>
              </w:rPr>
              <w:t>）</w:t>
            </w:r>
          </w:p>
        </w:tc>
        <w:tc>
          <w:tcPr>
            <w:tcW w:w="1507"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房屋建筑面积（m</w:t>
            </w:r>
            <w:r>
              <w:rPr>
                <w:rFonts w:hint="eastAsia" w:ascii="宋体" w:hAnsi="宋体" w:eastAsia="宋体" w:cs="宋体"/>
                <w:color w:val="000000"/>
                <w:kern w:val="0"/>
                <w:sz w:val="22"/>
                <w:szCs w:val="22"/>
                <w:vertAlign w:val="superscript"/>
              </w:rPr>
              <w:t>2</w:t>
            </w:r>
            <w:r>
              <w:rPr>
                <w:rFonts w:hint="eastAsia" w:ascii="宋体" w:hAnsi="宋体" w:eastAsia="宋体" w:cs="宋体"/>
                <w:color w:val="000000"/>
                <w:kern w:val="0"/>
                <w:sz w:val="22"/>
                <w:szCs w:val="22"/>
              </w:rPr>
              <w:t>）</w:t>
            </w:r>
          </w:p>
        </w:tc>
        <w:tc>
          <w:tcPr>
            <w:tcW w:w="107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eastAsia" w:ascii="宋体" w:hAnsi="宋体" w:eastAsia="宋体" w:cs="宋体"/>
                <w:color w:val="000000"/>
                <w:kern w:val="0"/>
                <w:sz w:val="22"/>
                <w:szCs w:val="22"/>
              </w:rPr>
            </w:pPr>
            <w:r>
              <w:rPr>
                <w:rFonts w:hint="eastAsia" w:ascii="宋体" w:hAnsi="宋体" w:eastAsia="宋体" w:cs="宋体"/>
                <w:color w:val="000000"/>
                <w:kern w:val="0"/>
                <w:sz w:val="22"/>
                <w:szCs w:val="22"/>
              </w:rPr>
              <w:t>利用</w:t>
            </w:r>
          </w:p>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方式</w:t>
            </w:r>
          </w:p>
        </w:tc>
        <w:tc>
          <w:tcPr>
            <w:tcW w:w="134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已取得收益  （万元）</w:t>
            </w:r>
          </w:p>
        </w:tc>
        <w:tc>
          <w:tcPr>
            <w:tcW w:w="3213" w:type="dxa"/>
            <w:gridSpan w:val="3"/>
            <w:tcBorders>
              <w:top w:val="single" w:color="auto" w:sz="4" w:space="0"/>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已使用收益用途（万元）</w:t>
            </w:r>
          </w:p>
        </w:tc>
        <w:tc>
          <w:tcPr>
            <w:tcW w:w="107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尚未使用收益（万元）</w:t>
            </w:r>
          </w:p>
        </w:tc>
        <w:tc>
          <w:tcPr>
            <w:tcW w:w="1071"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备注</w:t>
            </w:r>
          </w:p>
        </w:tc>
      </w:tr>
      <w:tr>
        <w:tblPrEx>
          <w:tblCellMar>
            <w:top w:w="0" w:type="dxa"/>
            <w:left w:w="108" w:type="dxa"/>
            <w:bottom w:w="0" w:type="dxa"/>
            <w:right w:w="108" w:type="dxa"/>
          </w:tblCellMar>
        </w:tblPrEx>
        <w:trPr>
          <w:trHeight w:val="428" w:hRule="atLeast"/>
          <w:jc w:val="center"/>
        </w:trPr>
        <w:tc>
          <w:tcPr>
            <w:tcW w:w="127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2"/>
                <w:szCs w:val="22"/>
              </w:rPr>
            </w:pPr>
          </w:p>
        </w:tc>
        <w:tc>
          <w:tcPr>
            <w:tcW w:w="1110"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eastAsia="宋体" w:cs="宋体"/>
                <w:kern w:val="0"/>
                <w:sz w:val="22"/>
                <w:szCs w:val="22"/>
              </w:rPr>
            </w:pPr>
          </w:p>
        </w:tc>
        <w:tc>
          <w:tcPr>
            <w:tcW w:w="122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eastAsia="宋体" w:cs="宋体"/>
                <w:color w:val="000000"/>
                <w:kern w:val="0"/>
                <w:sz w:val="22"/>
                <w:szCs w:val="22"/>
              </w:rPr>
            </w:pPr>
          </w:p>
        </w:tc>
        <w:tc>
          <w:tcPr>
            <w:tcW w:w="1346"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eastAsia="宋体" w:cs="宋体"/>
                <w:color w:val="000000"/>
                <w:kern w:val="0"/>
                <w:sz w:val="22"/>
                <w:szCs w:val="22"/>
              </w:rPr>
            </w:pPr>
          </w:p>
        </w:tc>
        <w:tc>
          <w:tcPr>
            <w:tcW w:w="1512"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eastAsia="宋体" w:cs="宋体"/>
                <w:color w:val="000000"/>
                <w:kern w:val="0"/>
                <w:sz w:val="22"/>
                <w:szCs w:val="22"/>
              </w:rPr>
            </w:pPr>
          </w:p>
        </w:tc>
        <w:tc>
          <w:tcPr>
            <w:tcW w:w="1507"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eastAsia="宋体" w:cs="宋体"/>
                <w:color w:val="000000"/>
                <w:kern w:val="0"/>
                <w:sz w:val="22"/>
                <w:szCs w:val="22"/>
              </w:rPr>
            </w:pPr>
          </w:p>
        </w:tc>
        <w:tc>
          <w:tcPr>
            <w:tcW w:w="1071"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eastAsia="宋体" w:cs="宋体"/>
                <w:color w:val="000000"/>
                <w:kern w:val="0"/>
                <w:sz w:val="22"/>
                <w:szCs w:val="22"/>
              </w:rPr>
            </w:pPr>
          </w:p>
        </w:tc>
        <w:tc>
          <w:tcPr>
            <w:tcW w:w="134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宋体" w:hAnsi="宋体" w:eastAsia="宋体" w:cs="宋体"/>
                <w:color w:val="000000"/>
                <w:kern w:val="0"/>
                <w:sz w:val="22"/>
                <w:szCs w:val="22"/>
              </w:rPr>
            </w:pPr>
          </w:p>
        </w:tc>
        <w:tc>
          <w:tcPr>
            <w:tcW w:w="107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教育</w:t>
            </w:r>
          </w:p>
        </w:tc>
        <w:tc>
          <w:tcPr>
            <w:tcW w:w="107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村社</w:t>
            </w:r>
          </w:p>
        </w:tc>
        <w:tc>
          <w:tcPr>
            <w:tcW w:w="1071" w:type="dxa"/>
            <w:tcBorders>
              <w:top w:val="nil"/>
              <w:left w:val="nil"/>
              <w:bottom w:val="single" w:color="auto" w:sz="4" w:space="0"/>
              <w:right w:val="single" w:color="auto" w:sz="4" w:space="0"/>
            </w:tcBorders>
            <w:shd w:val="clear" w:color="auto" w:fill="auto"/>
            <w:noWrap w:val="0"/>
            <w:vAlign w:val="center"/>
          </w:tcPr>
          <w:p>
            <w:pPr>
              <w:widowControl/>
              <w:jc w:val="center"/>
              <w:rPr>
                <w:rFonts w:ascii="宋体" w:hAnsi="宋体" w:eastAsia="宋体" w:cs="宋体"/>
                <w:color w:val="000000"/>
                <w:kern w:val="0"/>
                <w:sz w:val="22"/>
                <w:szCs w:val="22"/>
              </w:rPr>
            </w:pPr>
            <w:r>
              <w:rPr>
                <w:rFonts w:hint="eastAsia" w:ascii="宋体" w:hAnsi="宋体" w:eastAsia="宋体" w:cs="宋体"/>
                <w:color w:val="000000"/>
                <w:kern w:val="0"/>
                <w:sz w:val="22"/>
                <w:szCs w:val="22"/>
              </w:rPr>
              <w:t>其它</w:t>
            </w: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p>
        </w:tc>
        <w:tc>
          <w:tcPr>
            <w:tcW w:w="1071"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eastAsia="宋体" w:cs="宋体"/>
                <w:color w:val="000000"/>
                <w:kern w:val="0"/>
                <w:sz w:val="22"/>
                <w:szCs w:val="22"/>
              </w:rPr>
            </w:pPr>
          </w:p>
        </w:tc>
      </w:tr>
      <w:tr>
        <w:tblPrEx>
          <w:tblCellMar>
            <w:top w:w="0" w:type="dxa"/>
            <w:left w:w="108" w:type="dxa"/>
            <w:bottom w:w="0" w:type="dxa"/>
            <w:right w:w="108" w:type="dxa"/>
          </w:tblCellMar>
        </w:tblPrEx>
        <w:trPr>
          <w:trHeight w:val="428" w:hRule="atLeast"/>
          <w:jc w:val="center"/>
        </w:trPr>
        <w:tc>
          <w:tcPr>
            <w:tcW w:w="127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28" w:hRule="atLeast"/>
          <w:jc w:val="center"/>
        </w:trPr>
        <w:tc>
          <w:tcPr>
            <w:tcW w:w="127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r>
        <w:tblPrEx>
          <w:tblCellMar>
            <w:top w:w="0" w:type="dxa"/>
            <w:left w:w="108" w:type="dxa"/>
            <w:bottom w:w="0" w:type="dxa"/>
            <w:right w:w="108" w:type="dxa"/>
          </w:tblCellMar>
        </w:tblPrEx>
        <w:trPr>
          <w:trHeight w:val="428" w:hRule="atLeast"/>
          <w:jc w:val="center"/>
        </w:trPr>
        <w:tc>
          <w:tcPr>
            <w:tcW w:w="1274" w:type="dxa"/>
            <w:tcBorders>
              <w:top w:val="nil"/>
              <w:left w:val="single" w:color="auto" w:sz="4" w:space="0"/>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110"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22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46"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12"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507"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348"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c>
          <w:tcPr>
            <w:tcW w:w="1071"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000000"/>
                <w:kern w:val="0"/>
                <w:sz w:val="22"/>
                <w:szCs w:val="22"/>
              </w:rPr>
            </w:pPr>
            <w:r>
              <w:rPr>
                <w:rFonts w:hint="eastAsia" w:ascii="宋体" w:hAnsi="宋体" w:eastAsia="宋体" w:cs="宋体"/>
                <w:color w:val="000000"/>
                <w:kern w:val="0"/>
                <w:sz w:val="22"/>
                <w:szCs w:val="22"/>
              </w:rPr>
              <w:t>　</w:t>
            </w:r>
          </w:p>
        </w:tc>
      </w:tr>
    </w:tbl>
    <w:p>
      <w:pPr>
        <w:widowControl w:val="0"/>
        <w:shd w:val="clear" w:color="auto" w:fill="FFFFFF"/>
        <w:snapToGrid w:val="0"/>
        <w:spacing w:before="0" w:beforeAutospacing="0" w:after="0" w:afterAutospacing="0" w:line="276" w:lineRule="auto"/>
        <w:jc w:val="left"/>
        <w:rPr>
          <w:rFonts w:hint="eastAsia" w:ascii="方正仿宋_GBK" w:hAnsi="宋体" w:eastAsia="方正仿宋_GBK" w:cs="Times New Roman"/>
          <w:color w:val="000000"/>
          <w:kern w:val="0"/>
          <w:sz w:val="21"/>
          <w:szCs w:val="21"/>
          <w:lang w:val="en-US" w:eastAsia="zh-CN" w:bidi="ar-SA"/>
        </w:rPr>
      </w:pPr>
      <w:r>
        <w:rPr>
          <w:rFonts w:hint="eastAsia" w:ascii="方正仿宋_GBK" w:hAnsi="宋体" w:eastAsia="方正仿宋_GBK" w:cs="Times New Roman"/>
          <w:color w:val="000000"/>
          <w:kern w:val="0"/>
          <w:sz w:val="21"/>
          <w:szCs w:val="21"/>
          <w:lang w:val="en-US" w:eastAsia="zh-CN" w:bidi="ar-SA"/>
        </w:rPr>
        <w:t>备注:1.填报范围：对在中小学校布局结构调整中被撤并停办的农村校舍校地进行再利用并获得收益的闲置学校，包括村社单方面处置产生的收益（如不清楚请在备注栏注明）。2.填报要求：涉及单位务必高度重视，认真如实填报此表，为开展收益使用情况审计提供可靠依据，镇街学校由教管中心负责汇总核实上报，纸质表和电子表同时上报。3.指标解释：“利用方式”填出租、出售、入股、变现等；“已使用收益用途”中填列“其它”的请在备注栏注明，金额保留2位小数。</w:t>
      </w:r>
    </w:p>
    <w:p>
      <w:pPr>
        <w:widowControl w:val="0"/>
        <w:shd w:val="clear" w:color="auto" w:fill="FFFFFF"/>
        <w:snapToGrid w:val="0"/>
        <w:spacing w:before="0" w:beforeAutospacing="0" w:after="0" w:afterAutospacing="0" w:line="276" w:lineRule="auto"/>
        <w:jc w:val="left"/>
        <w:rPr>
          <w:rFonts w:hint="eastAsia" w:ascii="宋体" w:hAnsi="宋体" w:eastAsia="方正仿宋_GBK" w:cs="Times New Roman"/>
          <w:color w:val="000000"/>
          <w:kern w:val="0"/>
          <w:sz w:val="32"/>
          <w:szCs w:val="24"/>
          <w:lang w:val="en-US" w:eastAsia="zh-CN" w:bidi="ar-SA"/>
        </w:rPr>
      </w:pPr>
    </w:p>
    <w:p>
      <w:pPr>
        <w:widowControl w:val="0"/>
        <w:shd w:val="clear" w:color="auto" w:fill="FFFFFF"/>
        <w:snapToGrid w:val="0"/>
        <w:spacing w:before="0" w:beforeAutospacing="0" w:after="0" w:afterAutospacing="0" w:line="276" w:lineRule="auto"/>
        <w:rPr>
          <w:rFonts w:eastAsia="方正仿宋_GBK"/>
          <w:color w:val="000000"/>
          <w:sz w:val="32"/>
        </w:rPr>
        <w:sectPr>
          <w:headerReference r:id="rId6" w:type="default"/>
          <w:footerReference r:id="rId7" w:type="default"/>
          <w:pgSz w:w="16838" w:h="11906" w:orient="landscape"/>
          <w:pgMar w:top="1418" w:right="1134" w:bottom="1134" w:left="1134" w:header="851" w:footer="1474" w:gutter="0"/>
          <w:cols w:space="425" w:num="1"/>
          <w:docGrid w:type="lines" w:linePitch="579" w:charSpace="-849"/>
        </w:sectPr>
      </w:pPr>
    </w:p>
    <w:p>
      <w:pPr>
        <w:snapToGrid w:val="0"/>
        <w:spacing w:line="276" w:lineRule="auto"/>
        <w:rPr>
          <w:rFonts w:hint="eastAsia" w:ascii="方正黑体_GBK" w:hAnsi="Times New Roman" w:eastAsia="方正黑体_GBK" w:cs="Times New Roman"/>
          <w:szCs w:val="32"/>
        </w:rPr>
      </w:pPr>
      <w:r>
        <w:rPr>
          <w:rFonts w:hint="eastAsia" w:ascii="方正黑体_GBK" w:hAnsi="Times New Roman" w:eastAsia="方正黑体_GBK" w:cs="Times New Roman"/>
          <w:szCs w:val="32"/>
        </w:rPr>
        <w:t>附件3</w:t>
      </w:r>
    </w:p>
    <w:p>
      <w:pPr>
        <w:snapToGrid w:val="0"/>
        <w:spacing w:line="276" w:lineRule="auto"/>
        <w:ind w:firstLine="360"/>
        <w:jc w:val="center"/>
        <w:rPr>
          <w:rFonts w:hint="eastAsia" w:ascii="方正小标宋_GBK" w:hAnsi="宋体" w:eastAsia="方正小标宋_GBK" w:cs="Times New Roman"/>
          <w:bCs/>
          <w:sz w:val="44"/>
          <w:szCs w:val="44"/>
        </w:rPr>
      </w:pPr>
      <w:r>
        <w:rPr>
          <w:rFonts w:hint="eastAsia" w:ascii="方正小标宋_GBK" w:hAnsi="宋体" w:eastAsia="方正小标宋_GBK" w:cs="Times New Roman"/>
          <w:bCs/>
          <w:sz w:val="44"/>
          <w:szCs w:val="44"/>
        </w:rPr>
        <w:t>农村教育闲置资产权益转让协议</w:t>
      </w:r>
    </w:p>
    <w:p>
      <w:pPr>
        <w:spacing w:line="640" w:lineRule="exact"/>
        <w:ind w:firstLine="632" w:firstLineChars="200"/>
        <w:rPr>
          <w:rFonts w:hint="eastAsia" w:ascii="方正仿宋_GBK" w:hAnsi="Times New Roman" w:cs="Times New Roman"/>
          <w:szCs w:val="32"/>
        </w:rPr>
      </w:pPr>
    </w:p>
    <w:p>
      <w:pPr>
        <w:spacing w:line="640" w:lineRule="exact"/>
        <w:ind w:firstLine="632" w:firstLineChars="200"/>
        <w:rPr>
          <w:rFonts w:hint="eastAsia" w:ascii="方正仿宋_GBK" w:hAnsi="Times New Roman" w:cs="Times New Roman"/>
          <w:szCs w:val="32"/>
        </w:rPr>
      </w:pPr>
      <w:r>
        <w:rPr>
          <w:rFonts w:hint="eastAsia" w:ascii="方正仿宋_GBK" w:hAnsi="Times New Roman" w:cs="Times New Roman"/>
          <w:b/>
          <w:bCs/>
          <w:szCs w:val="32"/>
        </w:rPr>
        <w:t>甲方：</w:t>
      </w:r>
      <w:r>
        <w:rPr>
          <w:rFonts w:hint="eastAsia" w:ascii="方正仿宋_GBK" w:hAnsi="Times New Roman" w:cs="Times New Roman"/>
          <w:szCs w:val="32"/>
        </w:rPr>
        <w:t>永川区××镇人民政府（街道办事处）</w:t>
      </w:r>
    </w:p>
    <w:p>
      <w:pPr>
        <w:spacing w:line="640" w:lineRule="exact"/>
        <w:ind w:firstLine="632" w:firstLineChars="200"/>
        <w:rPr>
          <w:rFonts w:hint="eastAsia" w:ascii="方正仿宋_GBK" w:hAnsi="Times New Roman" w:cs="Times New Roman"/>
          <w:szCs w:val="32"/>
        </w:rPr>
      </w:pPr>
      <w:r>
        <w:rPr>
          <w:rFonts w:hint="eastAsia" w:ascii="方正仿宋_GBK" w:hAnsi="Times New Roman" w:cs="Times New Roman"/>
          <w:b/>
          <w:bCs/>
          <w:szCs w:val="32"/>
        </w:rPr>
        <w:t>乙方：</w:t>
      </w:r>
      <w:r>
        <w:rPr>
          <w:rFonts w:hint="eastAsia" w:ascii="方正仿宋_GBK" w:hAnsi="Times New Roman" w:cs="Times New Roman"/>
          <w:szCs w:val="32"/>
        </w:rPr>
        <w:t>永川区××镇(街)××村村民委员会</w:t>
      </w:r>
    </w:p>
    <w:p>
      <w:pPr>
        <w:spacing w:line="640" w:lineRule="exact"/>
        <w:ind w:firstLine="632" w:firstLineChars="200"/>
        <w:rPr>
          <w:rFonts w:hint="eastAsia" w:ascii="方正仿宋_GBK" w:hAnsi="Times New Roman" w:cs="Times New Roman"/>
          <w:szCs w:val="32"/>
        </w:rPr>
      </w:pPr>
      <w:r>
        <w:rPr>
          <w:rFonts w:hint="eastAsia" w:ascii="方正仿宋_GBK" w:hAnsi="Times New Roman" w:cs="Times New Roman"/>
          <w:szCs w:val="32"/>
        </w:rPr>
        <w:t>甲方根据有关法律、法规及《重庆市人民政府关于农村教育闲置资产盘活利用的指导意见》（渝府发</w:t>
      </w:r>
      <w:r>
        <w:rPr>
          <w:rFonts w:hint="eastAsia" w:ascii="Times New Roman" w:hAnsi="Times New Roman" w:cs="Times New Roman"/>
        </w:rPr>
        <w:t>〔2014〕</w:t>
      </w:r>
      <w:r>
        <w:rPr>
          <w:rFonts w:hint="eastAsia" w:ascii="方正仿宋_GBK" w:hAnsi="Times New Roman" w:cs="Times New Roman"/>
          <w:szCs w:val="32"/>
        </w:rPr>
        <w:t>63号）文件的规定，将本协议项下的农村教育闲置资产</w:t>
      </w:r>
      <w:r>
        <w:rPr>
          <w:rFonts w:hint="eastAsia" w:ascii="方正仿宋_GBK" w:hAnsi="方正仿宋_GBK" w:cs="方正仿宋_GBK"/>
          <w:szCs w:val="32"/>
        </w:rPr>
        <w:t>的占有、使用、收益等权益让渡给</w:t>
      </w:r>
      <w:r>
        <w:rPr>
          <w:rFonts w:hint="eastAsia" w:ascii="方正仿宋_GBK" w:hAnsi="Times New Roman" w:cs="Times New Roman"/>
          <w:szCs w:val="32"/>
        </w:rPr>
        <w:t>乙方；乙方自愿受让该权益，并对该闲置资产权益的现状及资产进行了核验，同意受让该闲置资产权益。</w:t>
      </w:r>
    </w:p>
    <w:p>
      <w:pPr>
        <w:spacing w:line="640" w:lineRule="exact"/>
        <w:ind w:firstLine="632" w:firstLineChars="200"/>
        <w:rPr>
          <w:rFonts w:hint="eastAsia" w:ascii="方正仿宋_GBK" w:hAnsi="Times New Roman" w:cs="Times New Roman"/>
          <w:szCs w:val="32"/>
        </w:rPr>
      </w:pPr>
      <w:r>
        <w:rPr>
          <w:rFonts w:hint="eastAsia" w:ascii="方正仿宋_GBK" w:hAnsi="Times New Roman" w:cs="Times New Roman"/>
          <w:szCs w:val="32"/>
        </w:rPr>
        <w:t>为进一步明确各方之间的权利义务关系，甲乙双方在平等自愿、共同协商的基础上，就该资产权益转让相关的事宜达成如下协议，供双方共同遵守：</w:t>
      </w:r>
    </w:p>
    <w:p>
      <w:pPr>
        <w:spacing w:line="640" w:lineRule="exact"/>
        <w:ind w:firstLine="632" w:firstLineChars="200"/>
        <w:rPr>
          <w:rFonts w:hint="eastAsia" w:ascii="方正黑体_GBK" w:hAnsi="Times New Roman" w:eastAsia="方正黑体_GBK" w:cs="Times New Roman"/>
          <w:bCs/>
          <w:szCs w:val="32"/>
        </w:rPr>
      </w:pPr>
      <w:r>
        <w:rPr>
          <w:rFonts w:hint="eastAsia" w:ascii="方正黑体_GBK" w:hAnsi="Times New Roman" w:eastAsia="方正黑体_GBK" w:cs="Times New Roman"/>
          <w:bCs/>
          <w:szCs w:val="32"/>
        </w:rPr>
        <w:t>第一条  资产权益基本情况</w:t>
      </w:r>
    </w:p>
    <w:p>
      <w:pPr>
        <w:spacing w:line="640" w:lineRule="exact"/>
        <w:ind w:firstLine="632" w:firstLineChars="200"/>
        <w:rPr>
          <w:rFonts w:hint="eastAsia" w:ascii="方正仿宋_GBK" w:hAnsi="Times New Roman" w:cs="Times New Roman"/>
          <w:szCs w:val="32"/>
        </w:rPr>
      </w:pPr>
      <w:r>
        <w:rPr>
          <w:rFonts w:hint="eastAsia" w:ascii="方正仿宋_GBK" w:hAnsi="Times New Roman" w:cs="Times New Roman"/>
          <w:szCs w:val="32"/>
        </w:rPr>
        <w:t>该资产名称为××，位于××镇（街）××村××村民小组，建筑面积××平方米，占地面积××平方米，房屋产权证字号××，土地使用权证字号××。</w:t>
      </w:r>
    </w:p>
    <w:p>
      <w:pPr>
        <w:spacing w:line="640" w:lineRule="exact"/>
        <w:ind w:firstLine="632" w:firstLineChars="200"/>
        <w:rPr>
          <w:rFonts w:hint="eastAsia" w:ascii="方正仿宋_GBK" w:hAnsi="Times New Roman" w:cs="Times New Roman"/>
          <w:szCs w:val="32"/>
        </w:rPr>
      </w:pPr>
      <w:r>
        <w:rPr>
          <w:rFonts w:hint="eastAsia" w:ascii="方正仿宋_GBK" w:hAnsi="Times New Roman" w:cs="Times New Roman"/>
          <w:szCs w:val="32"/>
        </w:rPr>
        <w:t>合同标的物的具体情况以本协议附件《不动产权益转让清单》（须双方签章确认）的描述为准。</w:t>
      </w:r>
    </w:p>
    <w:p>
      <w:pPr>
        <w:spacing w:line="640" w:lineRule="exact"/>
        <w:ind w:firstLine="632" w:firstLineChars="200"/>
        <w:rPr>
          <w:rFonts w:hint="eastAsia" w:ascii="方正黑体_GBK" w:hAnsi="Times New Roman" w:eastAsia="方正黑体_GBK" w:cs="Times New Roman"/>
          <w:bCs/>
          <w:szCs w:val="32"/>
        </w:rPr>
      </w:pPr>
      <w:r>
        <w:rPr>
          <w:rFonts w:hint="eastAsia" w:ascii="方正黑体_GBK" w:hAnsi="Times New Roman" w:eastAsia="方正黑体_GBK" w:cs="Times New Roman"/>
          <w:bCs/>
          <w:szCs w:val="32"/>
        </w:rPr>
        <w:t>第二条  转让价款及支付方式</w:t>
      </w:r>
    </w:p>
    <w:p>
      <w:pPr>
        <w:spacing w:line="640" w:lineRule="exact"/>
        <w:ind w:firstLine="632" w:firstLineChars="200"/>
        <w:rPr>
          <w:rFonts w:hint="eastAsia" w:ascii="方正仿宋_GBK" w:hAnsi="Times New Roman" w:cs="Times New Roman"/>
          <w:szCs w:val="32"/>
        </w:rPr>
      </w:pPr>
      <w:r>
        <w:rPr>
          <w:rFonts w:hint="eastAsia" w:ascii="方正仿宋_GBK" w:hAnsi="Times New Roman" w:cs="Times New Roman"/>
          <w:szCs w:val="32"/>
        </w:rPr>
        <w:t>合同标的物的使用权按规定实行零价款转让。</w:t>
      </w:r>
    </w:p>
    <w:p>
      <w:pPr>
        <w:spacing w:line="640" w:lineRule="exact"/>
        <w:ind w:firstLine="632" w:firstLineChars="200"/>
        <w:rPr>
          <w:rFonts w:hint="eastAsia" w:ascii="方正仿宋_GBK" w:hAnsi="Times New Roman" w:cs="Times New Roman"/>
          <w:szCs w:val="32"/>
        </w:rPr>
      </w:pPr>
      <w:r>
        <w:rPr>
          <w:rFonts w:hint="eastAsia" w:ascii="方正仿宋_GBK" w:hAnsi="Times New Roman" w:cs="Times New Roman"/>
          <w:szCs w:val="32"/>
        </w:rPr>
        <w:t>与该资产有关的各项应付未付款项均由甲方承担。各项应收未收款项，均转归乙方收取。</w:t>
      </w:r>
    </w:p>
    <w:p>
      <w:pPr>
        <w:spacing w:line="640" w:lineRule="exact"/>
        <w:ind w:firstLine="632" w:firstLineChars="200"/>
        <w:rPr>
          <w:rFonts w:hint="eastAsia" w:ascii="方正黑体_GBK" w:hAnsi="Times New Roman" w:eastAsia="方正黑体_GBK" w:cs="Times New Roman"/>
          <w:bCs/>
          <w:szCs w:val="32"/>
        </w:rPr>
      </w:pPr>
      <w:r>
        <w:rPr>
          <w:rFonts w:hint="eastAsia" w:ascii="方正黑体_GBK" w:hAnsi="Times New Roman" w:eastAsia="方正黑体_GBK" w:cs="Times New Roman"/>
          <w:bCs/>
          <w:szCs w:val="32"/>
        </w:rPr>
        <w:t>第三条  转让期限为长期。</w:t>
      </w:r>
    </w:p>
    <w:p>
      <w:pPr>
        <w:spacing w:line="640" w:lineRule="exact"/>
        <w:ind w:firstLine="632" w:firstLineChars="200"/>
        <w:rPr>
          <w:rFonts w:hint="eastAsia" w:ascii="方正黑体_GBK" w:hAnsi="Times New Roman" w:eastAsia="方正黑体_GBK" w:cs="Times New Roman"/>
          <w:bCs/>
          <w:szCs w:val="32"/>
        </w:rPr>
      </w:pPr>
      <w:r>
        <w:rPr>
          <w:rFonts w:hint="eastAsia" w:ascii="方正黑体_GBK" w:hAnsi="Times New Roman" w:eastAsia="方正黑体_GBK" w:cs="Times New Roman"/>
          <w:bCs/>
          <w:szCs w:val="32"/>
        </w:rPr>
        <w:t>第四条  利用方式</w:t>
      </w:r>
    </w:p>
    <w:p>
      <w:pPr>
        <w:spacing w:line="64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在符合土地利用总体规划、城乡总体规划、教育发展规划、土地用途管制的前提下，农村教育闲置资产应当按照区位条件和使用价值，实施分类盘活利用，主要用于农村集体经济组织发展。</w:t>
      </w:r>
    </w:p>
    <w:p>
      <w:pPr>
        <w:spacing w:line="640" w:lineRule="exact"/>
        <w:ind w:firstLine="632" w:firstLineChars="200"/>
        <w:rPr>
          <w:rFonts w:hint="eastAsia" w:ascii="方正仿宋_GBK" w:hAnsi="方正仿宋_GBK" w:cs="方正仿宋_GBK"/>
          <w:szCs w:val="32"/>
        </w:rPr>
      </w:pPr>
      <w:r>
        <w:rPr>
          <w:rFonts w:hint="eastAsia" w:ascii="方正仿宋_GBK" w:hAnsi="方正仿宋_GBK" w:cs="方正仿宋_GBK"/>
          <w:b/>
          <w:bCs/>
          <w:szCs w:val="32"/>
        </w:rPr>
        <w:t>（一）合理利用。</w:t>
      </w:r>
      <w:r>
        <w:rPr>
          <w:rFonts w:hint="eastAsia" w:ascii="方正仿宋_GBK" w:hAnsi="方正仿宋_GBK" w:cs="方正仿宋_GBK"/>
          <w:szCs w:val="32"/>
        </w:rPr>
        <w:t>对房屋质量较好、地理区位条件较好的闲置校舍，可继续保留用于农村学前教育、医疗卫生、五保供养等公益事业。</w:t>
      </w:r>
    </w:p>
    <w:p>
      <w:pPr>
        <w:spacing w:line="64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闲置校地可优先用于农民新村、生态扶贫搬迁和养老、医疗等公益事业建设，可通过流转、入股等方式用于发展集体经济和兴办农产品加工企业。</w:t>
      </w:r>
    </w:p>
    <w:p>
      <w:pPr>
        <w:spacing w:line="640" w:lineRule="exact"/>
        <w:ind w:firstLine="632" w:firstLineChars="200"/>
        <w:rPr>
          <w:rFonts w:hint="eastAsia" w:ascii="方正仿宋_GBK" w:hAnsi="方正仿宋_GBK" w:cs="方正仿宋_GBK"/>
          <w:szCs w:val="32"/>
        </w:rPr>
      </w:pPr>
      <w:r>
        <w:rPr>
          <w:rFonts w:hint="eastAsia" w:ascii="方正仿宋_GBK" w:hAnsi="方正仿宋_GBK" w:cs="方正仿宋_GBK"/>
          <w:b/>
          <w:bCs/>
          <w:szCs w:val="32"/>
        </w:rPr>
        <w:t>（二）出租出售。</w:t>
      </w:r>
      <w:r>
        <w:rPr>
          <w:rFonts w:hint="eastAsia" w:ascii="方正仿宋_GBK" w:hAnsi="方正仿宋_GBK" w:cs="方正仿宋_GBK"/>
          <w:szCs w:val="32"/>
        </w:rPr>
        <w:t>对不需要保留用于农村公益事业发展的闲置学校，可出租或出售处置。按照有关法律法规和政策可以出售的，纳入公共交易平台公开、竞价出售。</w:t>
      </w:r>
    </w:p>
    <w:p>
      <w:pPr>
        <w:spacing w:line="640" w:lineRule="exact"/>
        <w:ind w:firstLine="632" w:firstLineChars="200"/>
        <w:rPr>
          <w:rFonts w:hint="eastAsia" w:ascii="方正仿宋_GBK" w:hAnsi="方正仿宋_GBK" w:cs="方正仿宋_GBK"/>
          <w:szCs w:val="32"/>
        </w:rPr>
      </w:pPr>
      <w:r>
        <w:rPr>
          <w:rFonts w:hint="eastAsia" w:ascii="方正仿宋_GBK" w:hAnsi="方正仿宋_GBK" w:cs="方正仿宋_GBK"/>
          <w:b/>
          <w:bCs/>
          <w:szCs w:val="32"/>
        </w:rPr>
        <w:t>（三）复垦处置。</w:t>
      </w:r>
      <w:r>
        <w:rPr>
          <w:rFonts w:hint="eastAsia" w:ascii="方正仿宋_GBK" w:hAnsi="方正仿宋_GBK" w:cs="方正仿宋_GBK"/>
          <w:szCs w:val="32"/>
        </w:rPr>
        <w:t>对土地利用总体规划允许建设区和有条件建设区外的闲置学校，可通过农村建设用地复垦、“地票”交易和城乡建设用地增减挂钩等政策进行处置。复垦后形成的农用地，由</w:t>
      </w:r>
      <w:r>
        <w:rPr>
          <w:rFonts w:hint="eastAsia" w:ascii="方正仿宋_GBK" w:hAnsi="Times New Roman" w:cs="Times New Roman"/>
          <w:szCs w:val="32"/>
        </w:rPr>
        <w:t>乙方</w:t>
      </w:r>
      <w:r>
        <w:rPr>
          <w:rFonts w:hint="eastAsia" w:ascii="方正仿宋_GBK" w:hAnsi="方正仿宋_GBK" w:cs="方正仿宋_GBK"/>
          <w:szCs w:val="32"/>
        </w:rPr>
        <w:t>管护利用。</w:t>
      </w:r>
    </w:p>
    <w:p>
      <w:pPr>
        <w:spacing w:line="640" w:lineRule="exact"/>
        <w:ind w:firstLine="632" w:firstLineChars="200"/>
        <w:rPr>
          <w:rFonts w:hint="eastAsia" w:ascii="方正黑体_GBK" w:hAnsi="Times New Roman" w:eastAsia="方正黑体_GBK" w:cs="Times New Roman"/>
          <w:bCs/>
          <w:szCs w:val="32"/>
        </w:rPr>
      </w:pPr>
      <w:r>
        <w:rPr>
          <w:rFonts w:hint="eastAsia" w:ascii="方正黑体_GBK" w:hAnsi="Times New Roman" w:eastAsia="方正黑体_GBK" w:cs="Times New Roman"/>
          <w:bCs/>
          <w:szCs w:val="32"/>
        </w:rPr>
        <w:t>第五条  收益分配</w:t>
      </w:r>
    </w:p>
    <w:p>
      <w:pPr>
        <w:spacing w:line="64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农村教育闲置资产盘活利用所获得的出租、入股、变现等收益，全部归</w:t>
      </w:r>
      <w:r>
        <w:rPr>
          <w:rFonts w:hint="eastAsia" w:ascii="方正仿宋_GBK" w:hAnsi="Times New Roman" w:cs="Times New Roman"/>
          <w:szCs w:val="32"/>
        </w:rPr>
        <w:t>乙方</w:t>
      </w:r>
      <w:r>
        <w:rPr>
          <w:rFonts w:hint="eastAsia" w:ascii="方正仿宋_GBK" w:hAnsi="方正仿宋_GBK" w:cs="方正仿宋_GBK"/>
          <w:szCs w:val="32"/>
        </w:rPr>
        <w:t>所有，用于农村公益事业发展。农村集体经济组织所得收益，必须单独设二级科目管理，接受上级政府监督，不得直接分配给个人。</w:t>
      </w:r>
    </w:p>
    <w:p>
      <w:pPr>
        <w:spacing w:line="640" w:lineRule="exact"/>
        <w:ind w:firstLine="632" w:firstLineChars="200"/>
        <w:rPr>
          <w:rFonts w:hint="eastAsia" w:ascii="方正黑体_GBK" w:hAnsi="Times New Roman" w:eastAsia="方正黑体_GBK" w:cs="Times New Roman"/>
          <w:bCs/>
          <w:szCs w:val="32"/>
        </w:rPr>
      </w:pPr>
      <w:r>
        <w:rPr>
          <w:rFonts w:hint="eastAsia" w:ascii="方正黑体_GBK" w:hAnsi="Times New Roman" w:eastAsia="方正黑体_GBK" w:cs="Times New Roman"/>
          <w:bCs/>
          <w:szCs w:val="32"/>
        </w:rPr>
        <w:t>第六条  资产权益及相关文件资料的交付</w:t>
      </w:r>
    </w:p>
    <w:p>
      <w:pPr>
        <w:spacing w:line="640" w:lineRule="exact"/>
        <w:ind w:firstLine="632" w:firstLineChars="200"/>
        <w:rPr>
          <w:rFonts w:hint="eastAsia" w:ascii="方正仿宋_GBK" w:hAnsi="Times New Roman" w:cs="Times New Roman"/>
          <w:szCs w:val="32"/>
        </w:rPr>
      </w:pPr>
      <w:r>
        <w:rPr>
          <w:rFonts w:hint="eastAsia" w:ascii="方正仿宋_GBK" w:hAnsi="Times New Roman" w:cs="Times New Roman"/>
          <w:szCs w:val="32"/>
        </w:rPr>
        <w:t>本协议签订后10内，甲方将该资产的占有使用权及相关房屋产权证等法律文书一并全部交给乙方。并由双方授权代表签署书面交接文件，书面交接文件应载明移交的日期、地点、交接人。</w:t>
      </w:r>
    </w:p>
    <w:p>
      <w:pPr>
        <w:spacing w:line="640" w:lineRule="exact"/>
        <w:ind w:firstLine="632" w:firstLineChars="200"/>
        <w:rPr>
          <w:rFonts w:hint="eastAsia" w:ascii="方正仿宋_GBK" w:hAnsi="Times New Roman" w:cs="Times New Roman"/>
          <w:szCs w:val="32"/>
        </w:rPr>
      </w:pPr>
      <w:r>
        <w:rPr>
          <w:rFonts w:hint="eastAsia" w:ascii="方正仿宋_GBK" w:hAnsi="Times New Roman" w:cs="Times New Roman"/>
          <w:szCs w:val="32"/>
        </w:rPr>
        <w:t>自交付之日起，该不动产权益毁损、灭失的风险由乙方承担，税费（包括但不限于物业管理费、水费、电费等）同时转由乙方负担。</w:t>
      </w:r>
    </w:p>
    <w:p>
      <w:pPr>
        <w:spacing w:line="640" w:lineRule="exact"/>
        <w:ind w:firstLine="632" w:firstLineChars="200"/>
        <w:rPr>
          <w:rFonts w:hint="eastAsia" w:ascii="方正仿宋_GBK" w:hAnsi="Times New Roman" w:cs="Times New Roman"/>
          <w:szCs w:val="32"/>
        </w:rPr>
      </w:pPr>
      <w:r>
        <w:rPr>
          <w:rFonts w:hint="eastAsia" w:ascii="方正仿宋_GBK" w:hAnsi="Times New Roman" w:cs="Times New Roman"/>
          <w:szCs w:val="32"/>
        </w:rPr>
        <w:t>乙方受让本协议项下不动产权益后，自行到有关部门办理该不动产权益对应的不动产的相关权属登记手续。</w:t>
      </w:r>
    </w:p>
    <w:p>
      <w:pPr>
        <w:spacing w:line="640" w:lineRule="exact"/>
        <w:ind w:firstLine="632" w:firstLineChars="200"/>
        <w:rPr>
          <w:rFonts w:hint="eastAsia" w:ascii="方正黑体_GBK" w:hAnsi="Times New Roman" w:eastAsia="方正黑体_GBK" w:cs="Times New Roman"/>
          <w:bCs/>
          <w:szCs w:val="32"/>
        </w:rPr>
      </w:pPr>
      <w:r>
        <w:rPr>
          <w:rFonts w:hint="eastAsia" w:ascii="方正黑体_GBK" w:hAnsi="Times New Roman" w:eastAsia="方正黑体_GBK" w:cs="Times New Roman"/>
          <w:bCs/>
          <w:szCs w:val="32"/>
        </w:rPr>
        <w:t>第七条  争议的解决</w:t>
      </w:r>
    </w:p>
    <w:p>
      <w:pPr>
        <w:spacing w:line="640" w:lineRule="exact"/>
        <w:ind w:firstLine="632" w:firstLineChars="200"/>
        <w:rPr>
          <w:rFonts w:hint="eastAsia" w:ascii="方正仿宋_GBK" w:hAnsi="Times New Roman" w:cs="Times New Roman"/>
          <w:szCs w:val="32"/>
        </w:rPr>
      </w:pPr>
      <w:r>
        <w:rPr>
          <w:rFonts w:hint="eastAsia" w:ascii="方正仿宋_GBK" w:hAnsi="Times New Roman" w:cs="Times New Roman"/>
          <w:szCs w:val="32"/>
        </w:rPr>
        <w:t>双方就本协议的解释和履行发生的任何争议，应通过友好协商方式解决。</w:t>
      </w:r>
    </w:p>
    <w:p>
      <w:pPr>
        <w:spacing w:line="640" w:lineRule="exact"/>
        <w:ind w:firstLine="632" w:firstLineChars="200"/>
        <w:rPr>
          <w:rFonts w:hint="eastAsia" w:ascii="方正黑体_GBK" w:hAnsi="Times New Roman" w:eastAsia="方正黑体_GBK" w:cs="Times New Roman"/>
          <w:bCs/>
          <w:szCs w:val="32"/>
        </w:rPr>
      </w:pPr>
      <w:r>
        <w:rPr>
          <w:rFonts w:hint="eastAsia" w:ascii="方正黑体_GBK" w:hAnsi="Times New Roman" w:eastAsia="方正黑体_GBK" w:cs="Times New Roman"/>
          <w:bCs/>
          <w:szCs w:val="32"/>
        </w:rPr>
        <w:t>第八条  协议的变更、终止</w:t>
      </w:r>
    </w:p>
    <w:p>
      <w:pPr>
        <w:spacing w:line="640" w:lineRule="exact"/>
        <w:ind w:firstLine="632" w:firstLineChars="200"/>
        <w:rPr>
          <w:rFonts w:hint="eastAsia" w:ascii="方正仿宋_GBK" w:hAnsi="Times New Roman" w:cs="Times New Roman"/>
          <w:szCs w:val="32"/>
        </w:rPr>
      </w:pPr>
      <w:r>
        <w:rPr>
          <w:rFonts w:hint="eastAsia" w:ascii="方正仿宋_GBK" w:hAnsi="Times New Roman" w:cs="Times New Roman"/>
          <w:szCs w:val="32"/>
        </w:rPr>
        <w:t>本协议生效后，未经双方协商一致，达成书面协议，任何一方不得擅自变更本协议。如需变更本协议条款或就未尽事项签署补充协议，应经双方共同协商达成一致，并签署书面文件。</w:t>
      </w:r>
    </w:p>
    <w:p>
      <w:pPr>
        <w:spacing w:line="640" w:lineRule="exact"/>
        <w:ind w:firstLine="632" w:firstLineChars="200"/>
        <w:rPr>
          <w:rFonts w:hint="eastAsia" w:ascii="方正黑体_GBK" w:hAnsi="Times New Roman" w:eastAsia="方正黑体_GBK" w:cs="Times New Roman"/>
          <w:bCs/>
          <w:szCs w:val="32"/>
        </w:rPr>
      </w:pPr>
      <w:r>
        <w:rPr>
          <w:rFonts w:hint="eastAsia" w:ascii="方正黑体_GBK" w:hAnsi="Times New Roman" w:eastAsia="方正黑体_GBK" w:cs="Times New Roman"/>
          <w:bCs/>
          <w:szCs w:val="32"/>
        </w:rPr>
        <w:t>第九条  附则</w:t>
      </w:r>
    </w:p>
    <w:p>
      <w:pPr>
        <w:spacing w:line="640" w:lineRule="exact"/>
        <w:ind w:firstLine="632" w:firstLineChars="200"/>
        <w:rPr>
          <w:rFonts w:hint="eastAsia" w:ascii="方正仿宋_GBK" w:hAnsi="Times New Roman" w:cs="Times New Roman"/>
          <w:szCs w:val="32"/>
        </w:rPr>
      </w:pPr>
      <w:r>
        <w:rPr>
          <w:rFonts w:hint="eastAsia" w:ascii="方正仿宋_GBK" w:hAnsi="Times New Roman" w:cs="Times New Roman"/>
          <w:szCs w:val="32"/>
        </w:rPr>
        <w:t>附件《不动产权益转让清单》为本协议不可分割的组成部分，与本协议具有同等效力：</w:t>
      </w:r>
    </w:p>
    <w:p>
      <w:pPr>
        <w:spacing w:line="640" w:lineRule="exact"/>
        <w:ind w:firstLine="632" w:firstLineChars="200"/>
        <w:rPr>
          <w:rFonts w:hint="eastAsia" w:ascii="方正仿宋_GBK" w:hAnsi="Times New Roman" w:cs="Times New Roman"/>
          <w:szCs w:val="32"/>
        </w:rPr>
      </w:pPr>
      <w:r>
        <w:rPr>
          <w:rFonts w:hint="eastAsia" w:ascii="方正仿宋_GBK" w:hAnsi="Times New Roman" w:cs="Times New Roman"/>
          <w:szCs w:val="32"/>
        </w:rPr>
        <w:t>本协议自甲、乙双方法定代表人或负责人或授权代表签字并盖章之日成立并生效。</w:t>
      </w:r>
    </w:p>
    <w:p>
      <w:pPr>
        <w:spacing w:line="640" w:lineRule="exact"/>
        <w:ind w:firstLine="632" w:firstLineChars="200"/>
        <w:rPr>
          <w:rFonts w:hint="eastAsia" w:ascii="方正仿宋_GBK" w:hAnsi="Times New Roman" w:cs="Times New Roman"/>
          <w:szCs w:val="32"/>
        </w:rPr>
      </w:pPr>
      <w:r>
        <w:rPr>
          <w:rFonts w:hint="eastAsia" w:ascii="方正仿宋_GBK" w:hAnsi="Times New Roman" w:cs="Times New Roman"/>
          <w:szCs w:val="32"/>
        </w:rPr>
        <w:t>本协议一式肆份，甲方持贰份，乙方持贰份。</w:t>
      </w:r>
    </w:p>
    <w:p>
      <w:pPr>
        <w:spacing w:line="640" w:lineRule="exact"/>
        <w:ind w:firstLine="632" w:firstLineChars="200"/>
        <w:rPr>
          <w:rFonts w:hint="eastAsia" w:ascii="方正仿宋_GBK" w:hAnsi="Times New Roman" w:cs="Times New Roman"/>
          <w:szCs w:val="32"/>
        </w:rPr>
      </w:pPr>
    </w:p>
    <w:p>
      <w:pPr>
        <w:spacing w:line="640" w:lineRule="exact"/>
        <w:ind w:firstLine="632" w:firstLineChars="200"/>
        <w:rPr>
          <w:rFonts w:hint="eastAsia" w:ascii="方正仿宋_GBK" w:hAnsi="Times New Roman" w:cs="Times New Roman"/>
          <w:szCs w:val="32"/>
        </w:rPr>
      </w:pPr>
    </w:p>
    <w:p>
      <w:pPr>
        <w:spacing w:line="640" w:lineRule="exact"/>
        <w:ind w:firstLine="632" w:firstLineChars="200"/>
        <w:rPr>
          <w:rFonts w:hint="eastAsia" w:ascii="方正仿宋_GBK" w:hAnsi="Times New Roman" w:cs="Times New Roman"/>
          <w:szCs w:val="32"/>
        </w:rPr>
      </w:pPr>
      <w:r>
        <w:rPr>
          <w:rFonts w:hint="eastAsia" w:ascii="方正仿宋_GBK" w:hAnsi="Times New Roman" w:cs="Times New Roman"/>
          <w:szCs w:val="32"/>
        </w:rPr>
        <w:t xml:space="preserve">甲　　方（盖章）：           乙　　方（盖章）： </w:t>
      </w:r>
    </w:p>
    <w:p>
      <w:pPr>
        <w:spacing w:line="640" w:lineRule="exact"/>
        <w:ind w:firstLine="670" w:firstLineChars="212"/>
        <w:rPr>
          <w:rFonts w:hint="eastAsia" w:ascii="方正仿宋_GBK" w:hAnsi="Times New Roman" w:cs="Times New Roman"/>
          <w:szCs w:val="32"/>
        </w:rPr>
      </w:pPr>
      <w:r>
        <w:rPr>
          <w:rFonts w:hint="eastAsia" w:ascii="方正仿宋_GBK" w:hAnsi="Times New Roman" w:cs="Times New Roman"/>
          <w:szCs w:val="32"/>
        </w:rPr>
        <w:t>法定代表人：                负责人（签名）：</w:t>
      </w:r>
    </w:p>
    <w:p>
      <w:pPr>
        <w:spacing w:line="640" w:lineRule="exact"/>
        <w:ind w:firstLine="360"/>
        <w:jc w:val="center"/>
        <w:rPr>
          <w:color w:val="000000"/>
        </w:rPr>
        <w:sectPr>
          <w:headerReference r:id="rId8" w:type="default"/>
          <w:footerReference r:id="rId9" w:type="default"/>
          <w:pgSz w:w="11906" w:h="16838"/>
          <w:pgMar w:top="2098" w:right="1474" w:bottom="1985" w:left="1588" w:header="851" w:footer="1474" w:gutter="0"/>
          <w:cols w:space="425" w:num="1"/>
          <w:docGrid w:type="linesAndChars" w:linePitch="579" w:charSpace="-849"/>
        </w:sectPr>
      </w:pPr>
      <w:r>
        <w:rPr>
          <w:rFonts w:hint="eastAsia" w:ascii="Times New Roman" w:hAnsi="Times New Roman" w:cs="Times New Roman"/>
        </w:rPr>
        <w:t xml:space="preserve">                     2015年  月  日</w:t>
      </w:r>
    </w:p>
    <w:p>
      <w:pPr>
        <w:widowControl w:val="0"/>
        <w:shd w:val="clear" w:color="auto" w:fill="FFFFFF"/>
        <w:snapToGrid w:val="0"/>
        <w:spacing w:before="0" w:beforeAutospacing="0" w:after="0" w:afterAutospacing="0" w:line="276" w:lineRule="auto"/>
        <w:jc w:val="left"/>
        <w:rPr>
          <w:rFonts w:hint="eastAsia" w:ascii="方正小标宋_GBK" w:hAnsi="宋体" w:eastAsia="方正小标宋_GBK" w:cs="Times New Roman"/>
          <w:color w:val="000000"/>
          <w:kern w:val="0"/>
          <w:sz w:val="32"/>
          <w:szCs w:val="32"/>
          <w:lang w:val="en-US" w:eastAsia="zh-CN" w:bidi="ar-SA"/>
        </w:rPr>
      </w:pPr>
      <w:r>
        <w:rPr>
          <w:rFonts w:hint="eastAsia" w:ascii="方正小标宋_GBK" w:hAnsi="宋体" w:eastAsia="方正小标宋_GBK" w:cs="宋体"/>
          <w:color w:val="000000"/>
          <w:kern w:val="0"/>
          <w:sz w:val="32"/>
          <w:szCs w:val="32"/>
          <w:lang w:val="en-US" w:eastAsia="zh-CN" w:bidi="ar-SA"/>
        </w:rPr>
        <w:t>附件</w:t>
      </w:r>
    </w:p>
    <w:p>
      <w:pPr>
        <w:widowControl w:val="0"/>
        <w:shd w:val="clear" w:color="auto" w:fill="FFFFFF"/>
        <w:snapToGrid w:val="0"/>
        <w:spacing w:before="0" w:beforeAutospacing="0" w:after="0" w:afterAutospacing="0" w:line="276" w:lineRule="auto"/>
        <w:jc w:val="center"/>
        <w:rPr>
          <w:rFonts w:hint="eastAsia" w:ascii="宋体" w:hAnsi="宋体" w:eastAsia="方正仿宋_GBK" w:cs="Times New Roman"/>
          <w:color w:val="000000"/>
          <w:kern w:val="0"/>
          <w:sz w:val="32"/>
          <w:szCs w:val="24"/>
          <w:lang w:val="en-US" w:eastAsia="zh-CN" w:bidi="ar-SA"/>
        </w:rPr>
      </w:pPr>
      <w:r>
        <w:rPr>
          <w:rFonts w:hint="eastAsia" w:ascii="方正小标宋_GBK" w:hAnsi="宋体" w:eastAsia="方正小标宋_GBK" w:cs="Times New Roman"/>
          <w:bCs/>
          <w:kern w:val="0"/>
          <w:sz w:val="44"/>
          <w:szCs w:val="44"/>
          <w:lang w:val="en-US" w:eastAsia="zh-CN" w:bidi="ar-SA"/>
        </w:rPr>
        <w:t>农村教育闲置资产权益转让清单</w:t>
      </w:r>
    </w:p>
    <w:p>
      <w:pPr>
        <w:widowControl w:val="0"/>
        <w:shd w:val="clear" w:color="auto" w:fill="FFFFFF"/>
        <w:snapToGrid w:val="0"/>
        <w:spacing w:before="0" w:beforeAutospacing="0" w:after="0" w:afterAutospacing="0" w:line="276" w:lineRule="auto"/>
        <w:ind w:firstLine="160" w:firstLineChars="50"/>
        <w:jc w:val="left"/>
        <w:rPr>
          <w:rFonts w:hint="eastAsia" w:ascii="方正仿宋_GBK" w:hAnsi="宋体" w:eastAsia="方正仿宋_GBK" w:cs="宋体"/>
          <w:color w:val="000000"/>
          <w:kern w:val="0"/>
          <w:sz w:val="32"/>
          <w:szCs w:val="32"/>
          <w:lang w:val="en-US" w:eastAsia="zh-CN" w:bidi="ar-SA"/>
        </w:rPr>
      </w:pPr>
      <w:r>
        <w:rPr>
          <w:rFonts w:hint="eastAsia" w:ascii="方正仿宋_GBK" w:hAnsi="宋体" w:eastAsia="方正仿宋_GBK" w:cs="宋体"/>
          <w:color w:val="000000"/>
          <w:kern w:val="0"/>
          <w:sz w:val="32"/>
          <w:szCs w:val="32"/>
          <w:lang w:val="en-US" w:eastAsia="zh-CN" w:bidi="ar-SA"/>
        </w:rPr>
        <w:t>甲方名称：                                                    乙方名称：</w:t>
      </w:r>
    </w:p>
    <w:tbl>
      <w:tblPr>
        <w:tblStyle w:val="8"/>
        <w:tblW w:w="4841" w:type="pct"/>
        <w:jc w:val="center"/>
        <w:tblLayout w:type="autofit"/>
        <w:tblCellMar>
          <w:top w:w="0" w:type="dxa"/>
          <w:left w:w="108" w:type="dxa"/>
          <w:bottom w:w="0" w:type="dxa"/>
          <w:right w:w="108" w:type="dxa"/>
        </w:tblCellMar>
      </w:tblPr>
      <w:tblGrid>
        <w:gridCol w:w="2064"/>
        <w:gridCol w:w="676"/>
        <w:gridCol w:w="1141"/>
        <w:gridCol w:w="1757"/>
        <w:gridCol w:w="1993"/>
        <w:gridCol w:w="1134"/>
        <w:gridCol w:w="1198"/>
        <w:gridCol w:w="1690"/>
        <w:gridCol w:w="8"/>
        <w:gridCol w:w="1162"/>
      </w:tblGrid>
      <w:tr>
        <w:tblPrEx>
          <w:tblCellMar>
            <w:top w:w="0" w:type="dxa"/>
            <w:left w:w="108" w:type="dxa"/>
            <w:bottom w:w="0" w:type="dxa"/>
            <w:right w:w="108" w:type="dxa"/>
          </w:tblCellMar>
        </w:tblPrEx>
        <w:trPr>
          <w:trHeight w:val="765" w:hRule="atLeast"/>
          <w:jc w:val="center"/>
        </w:trPr>
        <w:tc>
          <w:tcPr>
            <w:tcW w:w="805"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不动产名称</w:t>
            </w:r>
          </w:p>
        </w:tc>
        <w:tc>
          <w:tcPr>
            <w:tcW w:w="709" w:type="pct"/>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84"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lang w:eastAsia="zh-CN"/>
              </w:rPr>
              <w:t>坐</w:t>
            </w:r>
            <w:bookmarkStart w:id="0" w:name="_GoBack"/>
            <w:bookmarkEnd w:id="0"/>
            <w:r>
              <w:rPr>
                <w:rFonts w:hint="eastAsia" w:ascii="宋体" w:hAnsi="宋体" w:cs="宋体"/>
                <w:color w:val="000000"/>
                <w:kern w:val="0"/>
                <w:sz w:val="22"/>
                <w:szCs w:val="22"/>
              </w:rPr>
              <w:t>落</w:t>
            </w:r>
          </w:p>
        </w:tc>
        <w:tc>
          <w:tcPr>
            <w:tcW w:w="1684" w:type="pct"/>
            <w:gridSpan w:val="3"/>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659" w:type="pct"/>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房屋产权证字号</w:t>
            </w:r>
          </w:p>
        </w:tc>
        <w:tc>
          <w:tcPr>
            <w:tcW w:w="456"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745" w:hRule="atLeast"/>
          <w:jc w:val="center"/>
        </w:trPr>
        <w:tc>
          <w:tcPr>
            <w:tcW w:w="805"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房屋建筑面积(m</w:t>
            </w:r>
            <w:r>
              <w:rPr>
                <w:rFonts w:hint="eastAsia" w:ascii="宋体" w:hAnsi="宋体" w:cs="宋体"/>
                <w:color w:val="000000"/>
                <w:kern w:val="0"/>
                <w:sz w:val="22"/>
                <w:szCs w:val="22"/>
                <w:vertAlign w:val="superscript"/>
              </w:rPr>
              <w:t>2</w:t>
            </w:r>
            <w:r>
              <w:rPr>
                <w:rFonts w:hint="eastAsia" w:ascii="宋体" w:hAnsi="宋体" w:cs="宋体"/>
                <w:color w:val="000000"/>
                <w:kern w:val="0"/>
                <w:sz w:val="22"/>
                <w:szCs w:val="22"/>
              </w:rPr>
              <w:t>)</w:t>
            </w:r>
          </w:p>
        </w:tc>
        <w:tc>
          <w:tcPr>
            <w:tcW w:w="709" w:type="pct"/>
            <w:gridSpan w:val="2"/>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w:t>
            </w:r>
          </w:p>
        </w:tc>
        <w:tc>
          <w:tcPr>
            <w:tcW w:w="684"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建筑结构</w:t>
            </w:r>
          </w:p>
        </w:tc>
        <w:tc>
          <w:tcPr>
            <w:tcW w:w="775"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442"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验收时间</w:t>
            </w:r>
          </w:p>
        </w:tc>
        <w:tc>
          <w:tcPr>
            <w:tcW w:w="46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659"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用途</w:t>
            </w:r>
          </w:p>
        </w:tc>
        <w:tc>
          <w:tcPr>
            <w:tcW w:w="456"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820" w:hRule="atLeast"/>
          <w:jc w:val="center"/>
        </w:trPr>
        <w:tc>
          <w:tcPr>
            <w:tcW w:w="805"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土地使用权性质</w:t>
            </w:r>
          </w:p>
        </w:tc>
        <w:tc>
          <w:tcPr>
            <w:tcW w:w="709" w:type="pct"/>
            <w:gridSpan w:val="2"/>
            <w:tcBorders>
              <w:top w:val="single" w:color="auto" w:sz="4" w:space="0"/>
              <w:left w:val="nil"/>
              <w:bottom w:val="single" w:color="auto" w:sz="4" w:space="0"/>
              <w:right w:val="single" w:color="auto" w:sz="4" w:space="0"/>
            </w:tcBorders>
            <w:noWrap w:val="0"/>
            <w:vAlign w:val="center"/>
          </w:tcPr>
          <w:p>
            <w:pPr>
              <w:widowControl/>
              <w:ind w:firstLine="440" w:firstLineChars="200"/>
              <w:jc w:val="left"/>
              <w:rPr>
                <w:rFonts w:ascii="宋体" w:hAnsi="宋体" w:cs="宋体"/>
                <w:color w:val="000000"/>
                <w:kern w:val="0"/>
                <w:sz w:val="22"/>
                <w:szCs w:val="22"/>
              </w:rPr>
            </w:pPr>
          </w:p>
        </w:tc>
        <w:tc>
          <w:tcPr>
            <w:tcW w:w="684"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土地使用权面积(m</w:t>
            </w:r>
            <w:r>
              <w:rPr>
                <w:rFonts w:hint="eastAsia" w:ascii="宋体" w:hAnsi="宋体" w:cs="宋体"/>
                <w:color w:val="000000"/>
                <w:kern w:val="0"/>
                <w:sz w:val="22"/>
                <w:szCs w:val="22"/>
                <w:vertAlign w:val="superscript"/>
              </w:rPr>
              <w:t>2</w:t>
            </w:r>
            <w:r>
              <w:rPr>
                <w:rFonts w:hint="eastAsia" w:ascii="宋体" w:hAnsi="宋体" w:cs="宋体"/>
                <w:color w:val="000000"/>
                <w:kern w:val="0"/>
                <w:sz w:val="22"/>
                <w:szCs w:val="22"/>
              </w:rPr>
              <w:t>)</w:t>
            </w:r>
          </w:p>
        </w:tc>
        <w:tc>
          <w:tcPr>
            <w:tcW w:w="775" w:type="pct"/>
            <w:tcBorders>
              <w:top w:val="nil"/>
              <w:left w:val="nil"/>
              <w:bottom w:val="single" w:color="auto" w:sz="4" w:space="0"/>
              <w:right w:val="single" w:color="auto" w:sz="4" w:space="0"/>
            </w:tcBorders>
            <w:noWrap w:val="0"/>
            <w:vAlign w:val="center"/>
          </w:tcPr>
          <w:p>
            <w:pPr>
              <w:widowControl/>
              <w:rPr>
                <w:rFonts w:hint="eastAsia" w:ascii="宋体" w:hAnsi="宋体" w:cs="宋体"/>
                <w:color w:val="000000"/>
                <w:kern w:val="0"/>
                <w:sz w:val="22"/>
                <w:szCs w:val="22"/>
              </w:rPr>
            </w:pPr>
          </w:p>
        </w:tc>
        <w:tc>
          <w:tcPr>
            <w:tcW w:w="442" w:type="pct"/>
            <w:tcBorders>
              <w:top w:val="nil"/>
              <w:left w:val="nil"/>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r>
              <w:rPr>
                <w:rFonts w:hint="eastAsia" w:ascii="宋体" w:hAnsi="宋体" w:cs="宋体"/>
                <w:color w:val="000000"/>
                <w:kern w:val="0"/>
                <w:sz w:val="22"/>
                <w:szCs w:val="22"/>
              </w:rPr>
              <w:t>建筑占地</w:t>
            </w:r>
          </w:p>
          <w:p>
            <w:pPr>
              <w:widowControl/>
              <w:jc w:val="center"/>
              <w:rPr>
                <w:rFonts w:ascii="宋体" w:hAnsi="宋体" w:cs="宋体"/>
                <w:color w:val="000000"/>
                <w:kern w:val="0"/>
                <w:sz w:val="22"/>
                <w:szCs w:val="22"/>
              </w:rPr>
            </w:pPr>
            <w:r>
              <w:rPr>
                <w:rFonts w:hint="eastAsia" w:ascii="宋体" w:hAnsi="宋体" w:cs="宋体"/>
                <w:color w:val="000000"/>
                <w:kern w:val="0"/>
                <w:sz w:val="22"/>
                <w:szCs w:val="22"/>
              </w:rPr>
              <w:t>面积(m</w:t>
            </w:r>
            <w:r>
              <w:rPr>
                <w:rFonts w:hint="eastAsia" w:ascii="宋体" w:hAnsi="宋体" w:cs="宋体"/>
                <w:color w:val="000000"/>
                <w:kern w:val="0"/>
                <w:sz w:val="22"/>
                <w:szCs w:val="22"/>
                <w:vertAlign w:val="superscript"/>
              </w:rPr>
              <w:t>2</w:t>
            </w:r>
            <w:r>
              <w:rPr>
                <w:rFonts w:hint="eastAsia" w:ascii="宋体" w:hAnsi="宋体" w:cs="宋体"/>
                <w:color w:val="000000"/>
                <w:kern w:val="0"/>
                <w:sz w:val="22"/>
                <w:szCs w:val="22"/>
              </w:rPr>
              <w:t>)</w:t>
            </w:r>
          </w:p>
        </w:tc>
        <w:tc>
          <w:tcPr>
            <w:tcW w:w="46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659"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用途</w:t>
            </w:r>
          </w:p>
        </w:tc>
        <w:tc>
          <w:tcPr>
            <w:tcW w:w="456" w:type="pct"/>
            <w:gridSpan w:val="2"/>
            <w:tcBorders>
              <w:top w:val="single" w:color="auto" w:sz="4" w:space="0"/>
              <w:left w:val="nil"/>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429" w:hRule="atLeast"/>
          <w:jc w:val="center"/>
        </w:trPr>
        <w:tc>
          <w:tcPr>
            <w:tcW w:w="805" w:type="pc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土地使用权年限</w:t>
            </w:r>
          </w:p>
        </w:tc>
        <w:tc>
          <w:tcPr>
            <w:tcW w:w="709" w:type="pct"/>
            <w:gridSpan w:val="2"/>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22"/>
                <w:szCs w:val="22"/>
              </w:rPr>
            </w:pPr>
          </w:p>
        </w:tc>
        <w:tc>
          <w:tcPr>
            <w:tcW w:w="684" w:type="pct"/>
            <w:tcBorders>
              <w:top w:val="nil"/>
              <w:left w:val="nil"/>
              <w:bottom w:val="single" w:color="auto" w:sz="4" w:space="0"/>
              <w:right w:val="single" w:color="auto" w:sz="4" w:space="0"/>
            </w:tcBorders>
            <w:noWrap w:val="0"/>
            <w:vAlign w:val="center"/>
          </w:tcPr>
          <w:p>
            <w:pPr>
              <w:widowControl/>
              <w:jc w:val="center"/>
              <w:rPr>
                <w:rFonts w:ascii="宋体" w:hAnsi="宋体" w:cs="宋体"/>
                <w:color w:val="000000"/>
                <w:w w:val="90"/>
                <w:kern w:val="0"/>
                <w:sz w:val="22"/>
                <w:szCs w:val="22"/>
              </w:rPr>
            </w:pPr>
            <w:r>
              <w:rPr>
                <w:rFonts w:hint="eastAsia" w:ascii="宋体" w:hAnsi="宋体" w:cs="宋体"/>
                <w:color w:val="000000"/>
                <w:w w:val="90"/>
                <w:kern w:val="0"/>
                <w:sz w:val="22"/>
                <w:szCs w:val="22"/>
              </w:rPr>
              <w:t>土地使用权证字号</w:t>
            </w:r>
          </w:p>
        </w:tc>
        <w:tc>
          <w:tcPr>
            <w:tcW w:w="2800" w:type="pct"/>
            <w:gridSpan w:val="6"/>
            <w:tcBorders>
              <w:top w:val="single" w:color="auto" w:sz="4" w:space="0"/>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602" w:hRule="atLeast"/>
          <w:jc w:val="center"/>
        </w:trPr>
        <w:tc>
          <w:tcPr>
            <w:tcW w:w="805" w:type="pct"/>
            <w:vMerge w:val="restart"/>
            <w:tcBorders>
              <w:top w:val="nil"/>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附属设施设备</w:t>
            </w:r>
          </w:p>
        </w:tc>
        <w:tc>
          <w:tcPr>
            <w:tcW w:w="264"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种类</w:t>
            </w:r>
          </w:p>
        </w:tc>
        <w:tc>
          <w:tcPr>
            <w:tcW w:w="444"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1、</w:t>
            </w:r>
          </w:p>
        </w:tc>
        <w:tc>
          <w:tcPr>
            <w:tcW w:w="684"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2、</w:t>
            </w:r>
          </w:p>
        </w:tc>
        <w:tc>
          <w:tcPr>
            <w:tcW w:w="775"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3、</w:t>
            </w:r>
          </w:p>
        </w:tc>
        <w:tc>
          <w:tcPr>
            <w:tcW w:w="442"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4、</w:t>
            </w:r>
          </w:p>
        </w:tc>
        <w:tc>
          <w:tcPr>
            <w:tcW w:w="466" w:type="pct"/>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5、</w:t>
            </w:r>
          </w:p>
        </w:tc>
        <w:tc>
          <w:tcPr>
            <w:tcW w:w="662" w:type="pct"/>
            <w:gridSpan w:val="2"/>
            <w:tcBorders>
              <w:top w:val="nil"/>
              <w:left w:val="nil"/>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6、</w:t>
            </w:r>
          </w:p>
        </w:tc>
        <w:tc>
          <w:tcPr>
            <w:tcW w:w="453" w:type="pct"/>
            <w:tcBorders>
              <w:top w:val="single" w:color="auto" w:sz="4" w:space="0"/>
              <w:left w:val="nil"/>
              <w:bottom w:val="single" w:color="auto" w:sz="4" w:space="0"/>
              <w:right w:val="single" w:color="auto" w:sz="4" w:space="0"/>
            </w:tcBorders>
            <w:noWrap w:val="0"/>
            <w:vAlign w:val="center"/>
          </w:tcPr>
          <w:p>
            <w:pPr>
              <w:widowControl/>
              <w:rPr>
                <w:rFonts w:ascii="宋体" w:hAnsi="宋体" w:cs="宋体"/>
                <w:color w:val="000000"/>
                <w:kern w:val="0"/>
                <w:sz w:val="22"/>
                <w:szCs w:val="22"/>
              </w:rPr>
            </w:pPr>
            <w:r>
              <w:rPr>
                <w:rFonts w:hint="eastAsia" w:ascii="宋体" w:hAnsi="宋体" w:cs="宋体"/>
                <w:color w:val="000000"/>
                <w:kern w:val="0"/>
                <w:sz w:val="22"/>
                <w:szCs w:val="22"/>
              </w:rPr>
              <w:t>7、　</w:t>
            </w:r>
          </w:p>
        </w:tc>
      </w:tr>
      <w:tr>
        <w:tblPrEx>
          <w:tblCellMar>
            <w:top w:w="0" w:type="dxa"/>
            <w:left w:w="108" w:type="dxa"/>
            <w:bottom w:w="0" w:type="dxa"/>
            <w:right w:w="108" w:type="dxa"/>
          </w:tblCellMar>
        </w:tblPrEx>
        <w:trPr>
          <w:trHeight w:val="302" w:hRule="atLeast"/>
          <w:jc w:val="center"/>
        </w:trPr>
        <w:tc>
          <w:tcPr>
            <w:tcW w:w="805" w:type="pct"/>
            <w:vMerge w:val="continue"/>
            <w:tcBorders>
              <w:top w:val="nil"/>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p>
        </w:tc>
        <w:tc>
          <w:tcPr>
            <w:tcW w:w="26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数量</w:t>
            </w:r>
          </w:p>
        </w:tc>
        <w:tc>
          <w:tcPr>
            <w:tcW w:w="44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84"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775"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42"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66"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662"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　</w:t>
            </w:r>
          </w:p>
        </w:tc>
        <w:tc>
          <w:tcPr>
            <w:tcW w:w="45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r>
      <w:tr>
        <w:tblPrEx>
          <w:tblCellMar>
            <w:top w:w="0" w:type="dxa"/>
            <w:left w:w="108" w:type="dxa"/>
            <w:bottom w:w="0" w:type="dxa"/>
            <w:right w:w="108" w:type="dxa"/>
          </w:tblCellMar>
        </w:tblPrEx>
        <w:trPr>
          <w:trHeight w:val="2834" w:hRule="atLeast"/>
          <w:jc w:val="center"/>
        </w:trPr>
        <w:tc>
          <w:tcPr>
            <w:tcW w:w="805"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抵押状况（如有，应说明抵押设定时间、担保金额、抵押权人）</w:t>
            </w:r>
          </w:p>
        </w:tc>
        <w:tc>
          <w:tcPr>
            <w:tcW w:w="1394" w:type="pct"/>
            <w:gridSpan w:val="3"/>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cs="宋体"/>
                <w:color w:val="000000"/>
                <w:kern w:val="0"/>
                <w:sz w:val="22"/>
                <w:szCs w:val="22"/>
              </w:rPr>
            </w:pPr>
          </w:p>
          <w:p>
            <w:pPr>
              <w:widowControl/>
              <w:ind w:firstLine="1540" w:firstLineChars="700"/>
              <w:rPr>
                <w:rFonts w:ascii="宋体" w:hAnsi="宋体" w:cs="宋体"/>
                <w:color w:val="000000"/>
                <w:kern w:val="0"/>
                <w:sz w:val="22"/>
                <w:szCs w:val="22"/>
              </w:rPr>
            </w:pPr>
            <w:r>
              <w:rPr>
                <w:rFonts w:hint="eastAsia" w:ascii="宋体" w:hAnsi="宋体" w:cs="宋体"/>
                <w:color w:val="000000"/>
                <w:kern w:val="0"/>
                <w:sz w:val="22"/>
                <w:szCs w:val="22"/>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725170</wp:posOffset>
                      </wp:positionV>
                      <wp:extent cx="635" cy="0"/>
                      <wp:effectExtent l="0" t="0" r="0" b="0"/>
                      <wp:wrapNone/>
                      <wp:docPr id="6" name="AutoShape 17"/>
                      <wp:cNvGraphicFramePr/>
                      <a:graphic xmlns:a="http://schemas.openxmlformats.org/drawingml/2006/main">
                        <a:graphicData uri="http://schemas.microsoft.com/office/word/2010/wordprocessingShape">
                          <wps:wsp>
                            <wps:cNvCnPr/>
                            <wps:spPr>
                              <a:xfrm>
                                <a:off x="0" y="0"/>
                                <a:ext cx="635" cy="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AutoShape 17" o:spid="_x0000_s1026" o:spt="32" type="#_x0000_t32" style="position:absolute;left:0pt;margin-left:-5.1pt;margin-top:57.1pt;height:0pt;width:0.05pt;z-index:251659264;mso-width-relative:page;mso-height-relative:page;" filled="f" stroked="t" coordsize="21600,21600" o:gfxdata="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AHIsVP1gAAAAsBAAAPAAAAAAAA&#10;AAEAIAAAACIAAABkcnMvZG93bnJldi54bWxQSwECFAAUAAAACACHTuJAOOjSpNsBAADdAwAADgAA&#10;AAAAAAABACAAAAAlAQAAZHJzL2Uyb0RvYy54bWxQSwUGAAAAAAYABgBZAQAAcgUAAAAA&#10;">
                      <v:fill on="f" focussize="0,0"/>
                      <v:stroke color="#000000" joinstyle="round"/>
                      <v:imagedata o:title=""/>
                      <o:lock v:ext="edit" aspectratio="f"/>
                    </v:shape>
                  </w:pict>
                </mc:Fallback>
              </mc:AlternateContent>
            </w:r>
            <w:r>
              <w:rPr>
                <w:rFonts w:hint="eastAsia" w:ascii="宋体" w:hAnsi="宋体" w:cs="宋体"/>
                <w:color w:val="000000"/>
                <w:kern w:val="0"/>
                <w:sz w:val="22"/>
                <w:szCs w:val="22"/>
              </w:rPr>
              <w:t>　</w:t>
            </w:r>
          </w:p>
        </w:tc>
        <w:tc>
          <w:tcPr>
            <w:tcW w:w="775"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出租状况（如有，应说明租赁时间、承租人及租金标准）</w:t>
            </w:r>
          </w:p>
        </w:tc>
        <w:tc>
          <w:tcPr>
            <w:tcW w:w="909"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center"/>
              <w:rPr>
                <w:rFonts w:ascii="宋体" w:hAnsi="宋体" w:cs="宋体"/>
                <w:color w:val="000000"/>
                <w:kern w:val="0"/>
                <w:sz w:val="22"/>
                <w:szCs w:val="22"/>
              </w:rPr>
            </w:pPr>
            <w:r>
              <w:rPr>
                <w:rFonts w:hint="eastAsia" w:ascii="宋体" w:hAnsi="宋体" w:cs="宋体"/>
                <w:color w:val="000000"/>
                <w:kern w:val="0"/>
                <w:sz w:val="22"/>
                <w:szCs w:val="22"/>
              </w:rPr>
              <w:t>　</w:t>
            </w:r>
          </w:p>
        </w:tc>
        <w:tc>
          <w:tcPr>
            <w:tcW w:w="662" w:type="pct"/>
            <w:gridSpan w:val="2"/>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是否有未付款项</w:t>
            </w:r>
          </w:p>
        </w:tc>
        <w:tc>
          <w:tcPr>
            <w:tcW w:w="453" w:type="pct"/>
            <w:tcBorders>
              <w:top w:val="single" w:color="auto" w:sz="4" w:space="0"/>
              <w:left w:val="single" w:color="auto" w:sz="4" w:space="0"/>
              <w:bottom w:val="single" w:color="auto" w:sz="4" w:space="0"/>
              <w:right w:val="single" w:color="auto" w:sz="4" w:space="0"/>
            </w:tcBorders>
            <w:noWrap w:val="0"/>
            <w:vAlign w:val="bottom"/>
          </w:tcPr>
          <w:p>
            <w:pPr>
              <w:rPr>
                <w:rFonts w:ascii="宋体" w:hAnsi="宋体" w:cs="宋体"/>
                <w:sz w:val="22"/>
                <w:szCs w:val="22"/>
              </w:rPr>
            </w:pPr>
          </w:p>
          <w:p>
            <w:pPr>
              <w:rPr>
                <w:rFonts w:ascii="宋体" w:hAnsi="宋体" w:cs="宋体"/>
                <w:sz w:val="22"/>
                <w:szCs w:val="22"/>
              </w:rPr>
            </w:pPr>
          </w:p>
        </w:tc>
      </w:tr>
      <w:tr>
        <w:tblPrEx>
          <w:tblCellMar>
            <w:top w:w="0" w:type="dxa"/>
            <w:left w:w="108" w:type="dxa"/>
            <w:bottom w:w="0" w:type="dxa"/>
            <w:right w:w="108" w:type="dxa"/>
          </w:tblCellMar>
        </w:tblPrEx>
        <w:trPr>
          <w:trHeight w:val="2368" w:hRule="atLeast"/>
          <w:jc w:val="center"/>
        </w:trPr>
        <w:tc>
          <w:tcPr>
            <w:tcW w:w="2974" w:type="pct"/>
            <w:gridSpan w:val="5"/>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转让人（盖章）</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负责人或</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授权代理人（签名）</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年       月        日</w:t>
            </w:r>
          </w:p>
        </w:tc>
        <w:tc>
          <w:tcPr>
            <w:tcW w:w="2025" w:type="pct"/>
            <w:gridSpan w:val="5"/>
            <w:tcBorders>
              <w:top w:val="single" w:color="auto" w:sz="4" w:space="0"/>
              <w:left w:val="nil"/>
              <w:bottom w:val="single" w:color="auto" w:sz="4" w:space="0"/>
              <w:right w:val="single" w:color="auto" w:sz="4" w:space="0"/>
            </w:tcBorders>
            <w:noWrap w:val="0"/>
            <w:vAlign w:val="center"/>
          </w:tcPr>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受让人（盖章）</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法定代表人或</w:t>
            </w:r>
          </w:p>
          <w:p>
            <w:pPr>
              <w:widowControl/>
              <w:jc w:val="left"/>
              <w:rPr>
                <w:rFonts w:hint="eastAsia" w:ascii="宋体" w:hAnsi="宋体" w:cs="宋体"/>
                <w:color w:val="000000"/>
                <w:kern w:val="0"/>
                <w:sz w:val="22"/>
                <w:szCs w:val="22"/>
              </w:rPr>
            </w:pPr>
            <w:r>
              <w:rPr>
                <w:rFonts w:hint="eastAsia" w:ascii="宋体" w:hAnsi="宋体" w:cs="宋体"/>
                <w:color w:val="000000"/>
                <w:kern w:val="0"/>
                <w:sz w:val="22"/>
                <w:szCs w:val="22"/>
              </w:rPr>
              <w:t>授权代理人（签名）</w:t>
            </w:r>
          </w:p>
          <w:p>
            <w:pPr>
              <w:widowControl/>
              <w:jc w:val="left"/>
              <w:rPr>
                <w:rFonts w:ascii="宋体" w:hAnsi="宋体" w:cs="宋体"/>
                <w:color w:val="000000"/>
                <w:kern w:val="0"/>
                <w:sz w:val="22"/>
                <w:szCs w:val="22"/>
              </w:rPr>
            </w:pPr>
            <w:r>
              <w:rPr>
                <w:rFonts w:hint="eastAsia" w:ascii="宋体" w:hAnsi="宋体" w:cs="宋体"/>
                <w:color w:val="000000"/>
                <w:kern w:val="0"/>
                <w:sz w:val="22"/>
                <w:szCs w:val="22"/>
              </w:rPr>
              <w:t xml:space="preserve">                           年       月      日</w:t>
            </w:r>
          </w:p>
        </w:tc>
      </w:tr>
      <w:tr>
        <w:tblPrEx>
          <w:tblCellMar>
            <w:top w:w="0" w:type="dxa"/>
            <w:left w:w="108" w:type="dxa"/>
            <w:bottom w:w="0" w:type="dxa"/>
            <w:right w:w="108" w:type="dxa"/>
          </w:tblCellMar>
        </w:tblPrEx>
        <w:trPr>
          <w:trHeight w:val="97" w:hRule="atLeast"/>
          <w:jc w:val="center"/>
        </w:trPr>
        <w:tc>
          <w:tcPr>
            <w:tcW w:w="5000" w:type="pct"/>
            <w:gridSpan w:val="10"/>
            <w:tcBorders>
              <w:top w:val="single" w:color="auto" w:sz="4" w:space="0"/>
              <w:left w:val="single" w:color="auto" w:sz="4" w:space="0"/>
              <w:bottom w:val="single" w:color="auto" w:sz="4" w:space="0"/>
              <w:right w:val="single" w:color="auto"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本清单经核对无误，作为转让合同的组成部分。</w:t>
            </w:r>
          </w:p>
        </w:tc>
      </w:tr>
      <w:tr>
        <w:tblPrEx>
          <w:tblCellMar>
            <w:top w:w="0" w:type="dxa"/>
            <w:left w:w="108" w:type="dxa"/>
            <w:bottom w:w="0" w:type="dxa"/>
            <w:right w:w="108" w:type="dxa"/>
          </w:tblCellMar>
        </w:tblPrEx>
        <w:trPr>
          <w:trHeight w:val="263" w:hRule="atLeast"/>
          <w:jc w:val="center"/>
        </w:trPr>
        <w:tc>
          <w:tcPr>
            <w:tcW w:w="5000" w:type="pct"/>
            <w:gridSpan w:val="10"/>
            <w:tcBorders>
              <w:top w:val="single" w:color="auto" w:sz="4" w:space="0"/>
              <w:left w:val="single" w:color="auto" w:sz="4" w:space="0"/>
              <w:bottom w:val="single" w:color="auto" w:sz="4" w:space="0"/>
              <w:right w:val="single" w:color="000000" w:sz="4" w:space="0"/>
            </w:tcBorders>
            <w:noWrap w:val="0"/>
            <w:vAlign w:val="center"/>
          </w:tcPr>
          <w:p>
            <w:pPr>
              <w:widowControl/>
              <w:jc w:val="left"/>
              <w:rPr>
                <w:rFonts w:ascii="宋体" w:hAnsi="宋体" w:cs="宋体"/>
                <w:color w:val="000000"/>
                <w:kern w:val="0"/>
                <w:sz w:val="22"/>
                <w:szCs w:val="22"/>
              </w:rPr>
            </w:pPr>
            <w:r>
              <w:rPr>
                <w:rFonts w:hint="eastAsia" w:ascii="宋体" w:hAnsi="宋体" w:cs="宋体"/>
                <w:color w:val="000000"/>
                <w:kern w:val="0"/>
                <w:sz w:val="22"/>
                <w:szCs w:val="22"/>
              </w:rPr>
              <w:t>备注：</w:t>
            </w:r>
          </w:p>
        </w:tc>
      </w:tr>
    </w:tbl>
    <w:p>
      <w:pPr>
        <w:rPr>
          <w:rFonts w:hint="eastAsia" w:eastAsia="方正仿宋_GBK"/>
          <w:szCs w:val="32"/>
          <w:lang w:eastAsia="zh-CN"/>
        </w:rPr>
      </w:pPr>
    </w:p>
    <w:sectPr>
      <w:headerReference r:id="rId10" w:type="default"/>
      <w:footerReference r:id="rId11" w:type="default"/>
      <w:pgSz w:w="16838" w:h="11906" w:orient="landscape"/>
      <w:pgMar w:top="1588" w:right="1962" w:bottom="1474" w:left="1848"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
    <w:altName w:val="Times New Roman"/>
    <w:panose1 w:val="00000000000000000000"/>
    <w:charset w:val="00"/>
    <w:family w:val="roman"/>
    <w:pitch w:val="default"/>
    <w:sig w:usb0="00000000" w:usb1="00000000" w:usb2="00000000" w:usb3="00000000" w:csb0="00000001"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right"/>
      <w:rPr>
        <w:rStyle w:val="11"/>
        <w:rFonts w:hint="eastAsia" w:ascii="Times New Roman" w:hAnsi="Times New Roman" w:eastAsia="宋体" w:cs="Times New Roman"/>
        <w:sz w:val="28"/>
      </w:rPr>
    </w:pPr>
    <w:r>
      <w:rPr>
        <w:rStyle w:val="11"/>
        <w:rFonts w:hint="eastAsia" w:ascii="Times New Roman" w:hAnsi="Times New Roman" w:eastAsia="宋体" w:cs="Times New Roman"/>
        <w:sz w:val="28"/>
      </w:rPr>
      <w:t>―</w:t>
    </w:r>
    <w:r>
      <w:rPr>
        <w:rFonts w:ascii="Times New Roman" w:hAnsi="Times New Roman" w:cs="Times New Roman"/>
        <w:kern w:val="0"/>
        <w:sz w:val="28"/>
      </w:rPr>
      <w:t xml:space="preserve"> </w:t>
    </w:r>
    <w:r>
      <w:rPr>
        <w:rFonts w:ascii="Times New Roman" w:hAnsi="Times New Roman" w:cs="Times New Roman"/>
        <w:kern w:val="0"/>
        <w:sz w:val="28"/>
      </w:rPr>
      <w:fldChar w:fldCharType="begin"/>
    </w:r>
    <w:r>
      <w:rPr>
        <w:rFonts w:ascii="Times New Roman" w:hAnsi="Times New Roman" w:cs="Times New Roman"/>
        <w:kern w:val="0"/>
        <w:sz w:val="28"/>
      </w:rPr>
      <w:instrText xml:space="preserve"> PAGE </w:instrText>
    </w:r>
    <w:r>
      <w:rPr>
        <w:rFonts w:ascii="Times New Roman" w:hAnsi="Times New Roman" w:cs="Times New Roman"/>
        <w:kern w:val="0"/>
        <w:sz w:val="28"/>
      </w:rPr>
      <w:fldChar w:fldCharType="separate"/>
    </w:r>
    <w:r>
      <w:rPr>
        <w:rFonts w:ascii="Times New Roman" w:hAnsi="Times New Roman" w:cs="Times New Roman"/>
        <w:kern w:val="0"/>
        <w:sz w:val="28"/>
      </w:rPr>
      <w:t>1</w:t>
    </w:r>
    <w:r>
      <w:rPr>
        <w:rFonts w:ascii="Times New Roman" w:hAnsi="Times New Roman" w:cs="Times New Roman"/>
        <w:kern w:val="0"/>
        <w:sz w:val="28"/>
      </w:rPr>
      <w:fldChar w:fldCharType="end"/>
    </w:r>
    <w:r>
      <w:rPr>
        <w:rFonts w:ascii="Times New Roman" w:hAnsi="Times New Roman" w:cs="Times New Roman"/>
        <w:kern w:val="0"/>
        <w:sz w:val="28"/>
      </w:rPr>
      <w:t xml:space="preserve"> </w:t>
    </w:r>
    <w:r>
      <w:rPr>
        <w:rStyle w:val="11"/>
        <w:rFonts w:hint="eastAsia" w:ascii="Times New Roman" w:hAnsi="Times New Roman" w:eastAsia="宋体" w:cs="Times New Roman"/>
        <w:sz w:val="28"/>
      </w:rPr>
      <w:t>―</w:t>
    </w:r>
  </w:p>
  <w:p>
    <w:pPr>
      <w:pStyle w:val="5"/>
      <w:ind w:right="360" w:firstLine="360"/>
      <w:jc w:val="right"/>
      <w:rPr>
        <w:rStyle w:val="11"/>
        <w:rFonts w:hint="eastAsia" w:ascii="Times New Roman" w:hAnsi="Times New Roman" w:eastAsia="宋体" w:cs="Times New Roman"/>
        <w:sz w:val="28"/>
        <w:lang w:val="en-US" w:eastAsia="zh-CN"/>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-46355</wp:posOffset>
              </wp:positionH>
              <wp:positionV relativeFrom="paragraph">
                <wp:posOffset>134620</wp:posOffset>
              </wp:positionV>
              <wp:extent cx="5620385" cy="0"/>
              <wp:effectExtent l="0" t="10795" r="18415" b="17780"/>
              <wp:wrapNone/>
              <wp:docPr id="7"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4" o:spid="_x0000_s1026" o:spt="20" style="position:absolute;left:0pt;margin-left:-3.65pt;margin-top:10.6pt;height:0pt;width:442.55pt;z-index:251660288;mso-width-relative:page;mso-height-relative:page;" filled="f" stroked="t" coordsize="21600,21600" o:gfxdata="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0tjwdUAAAAIAQAADwAAAAAAAAABACAAAAAiAAAAZHJzL2Rvd25yZXYueG1sUEsB&#10;AhQAFAAAAAgAh07iQCfhgJT4AQAAywMAAA4AAAAAAAAAAQAgAAAAJAEAAGRycy9lMm9Eb2MueG1s&#10;UEsFBgAAAAAGAAYAWQEAAI4FAAAAAA==&#10;">
              <v:fill on="f" focussize="0,0"/>
              <v:stroke weight="1.75pt" color="#005192" miterlimit="8" joinstyle="miter"/>
              <v:imagedata o:title=""/>
              <o:lock v:ext="edit" aspectratio="f"/>
            </v:line>
          </w:pict>
        </mc:Fallback>
      </mc:AlternateContent>
    </w:r>
    <w:r>
      <w:rPr>
        <w:rStyle w:val="11"/>
        <w:rFonts w:hint="eastAsia" w:ascii="Times New Roman" w:hAnsi="Times New Roman" w:eastAsia="宋体" w:cs="Times New Roman"/>
        <w:sz w:val="28"/>
        <w:lang w:val="en-US" w:eastAsia="zh-CN"/>
      </w:rPr>
      <w:t xml:space="preserve"> </w:t>
    </w:r>
  </w:p>
  <w:p>
    <w:pPr>
      <w:pStyle w:val="5"/>
      <w:ind w:right="360" w:firstLine="360"/>
      <w:jc w:val="right"/>
      <w:rPr>
        <w:rStyle w:val="11"/>
        <w:rFonts w:hint="eastAsia" w:ascii="Times New Roman" w:hAnsi="Times New Roman" w:eastAsia="宋体" w:cs="Times New Roman"/>
        <w:sz w:val="28"/>
      </w:rPr>
    </w:pPr>
    <w:r>
      <w:rPr>
        <w:rFonts w:hint="eastAsia" w:ascii="宋体" w:hAnsi="宋体" w:eastAsia="宋体" w:cs="宋体"/>
        <w:b/>
        <w:bCs/>
        <w:color w:val="005192"/>
        <w:sz w:val="28"/>
        <w:szCs w:val="44"/>
        <w:lang w:eastAsia="zh-CN"/>
      </w:rPr>
      <w:t>重庆市永川区人民政府办公室发布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rPr>
        <w:rFonts w:ascii="Times New Roman" w:hAnsi="Times New Roman" w:cs="Times New Roman"/>
        <w:sz w:val="28"/>
      </w:rPr>
    </w:pPr>
    <w:r>
      <w:rPr>
        <w:rStyle w:val="11"/>
        <w:rFonts w:hint="eastAsia" w:ascii="Times New Roman" w:hAnsi="Times New Roman" w:eastAsia="宋体" w:cs="Times New Roman"/>
        <w:sz w:val="28"/>
      </w:rPr>
      <w:t>―</w:t>
    </w:r>
    <w:r>
      <w:rPr>
        <w:rFonts w:ascii="Times New Roman" w:hAnsi="Times New Roman" w:cs="Times New Roman"/>
        <w:kern w:val="0"/>
        <w:sz w:val="28"/>
      </w:rPr>
      <w:t xml:space="preserve"> </w:t>
    </w:r>
    <w:r>
      <w:rPr>
        <w:rFonts w:ascii="Times New Roman" w:hAnsi="Times New Roman" w:cs="Times New Roman"/>
        <w:kern w:val="0"/>
        <w:sz w:val="28"/>
      </w:rPr>
      <w:fldChar w:fldCharType="begin"/>
    </w:r>
    <w:r>
      <w:rPr>
        <w:rFonts w:ascii="Times New Roman" w:hAnsi="Times New Roman" w:cs="Times New Roman"/>
        <w:kern w:val="0"/>
        <w:sz w:val="28"/>
      </w:rPr>
      <w:instrText xml:space="preserve"> PAGE </w:instrText>
    </w:r>
    <w:r>
      <w:rPr>
        <w:rFonts w:ascii="Times New Roman" w:hAnsi="Times New Roman" w:cs="Times New Roman"/>
        <w:kern w:val="0"/>
        <w:sz w:val="28"/>
      </w:rPr>
      <w:fldChar w:fldCharType="separate"/>
    </w:r>
    <w:r>
      <w:rPr>
        <w:rFonts w:ascii="Times New Roman" w:hAnsi="Times New Roman" w:cs="Times New Roman"/>
        <w:kern w:val="0"/>
        <w:sz w:val="28"/>
      </w:rPr>
      <w:t>2</w:t>
    </w:r>
    <w:r>
      <w:rPr>
        <w:rFonts w:ascii="Times New Roman" w:hAnsi="Times New Roman" w:cs="Times New Roman"/>
        <w:kern w:val="0"/>
        <w:sz w:val="28"/>
      </w:rPr>
      <w:fldChar w:fldCharType="end"/>
    </w:r>
    <w:r>
      <w:rPr>
        <w:rFonts w:ascii="Times New Roman" w:hAnsi="Times New Roman" w:cs="Times New Roman"/>
        <w:kern w:val="0"/>
        <w:sz w:val="28"/>
      </w:rPr>
      <w:t xml:space="preserve"> </w:t>
    </w:r>
    <w:r>
      <w:rPr>
        <w:rStyle w:val="11"/>
        <w:rFonts w:hint="eastAsia" w:ascii="Times New Roman" w:hAnsi="Times New Roman" w:eastAsia="宋体" w:cs="Times New Roman"/>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right"/>
      <w:rPr>
        <w:rStyle w:val="11"/>
        <w:rFonts w:hint="eastAsia" w:ascii="Times New Roman" w:hAnsi="Times New Roman" w:eastAsia="宋体" w:cs="Times New Roman"/>
        <w:sz w:val="28"/>
      </w:rPr>
    </w:pPr>
    <w:r>
      <w:rPr>
        <w:rStyle w:val="11"/>
        <w:rFonts w:hint="eastAsia" w:ascii="Times New Roman" w:hAnsi="Times New Roman" w:eastAsia="宋体" w:cs="Times New Roman"/>
        <w:sz w:val="28"/>
      </w:rPr>
      <w:t>―</w:t>
    </w:r>
    <w:r>
      <w:rPr>
        <w:rFonts w:ascii="Times New Roman" w:hAnsi="Times New Roman" w:cs="Times New Roman"/>
        <w:kern w:val="0"/>
        <w:sz w:val="28"/>
      </w:rPr>
      <w:t xml:space="preserve"> </w:t>
    </w:r>
    <w:r>
      <w:rPr>
        <w:rFonts w:ascii="Times New Roman" w:hAnsi="Times New Roman" w:cs="Times New Roman"/>
        <w:kern w:val="0"/>
        <w:sz w:val="28"/>
      </w:rPr>
      <w:fldChar w:fldCharType="begin"/>
    </w:r>
    <w:r>
      <w:rPr>
        <w:rFonts w:ascii="Times New Roman" w:hAnsi="Times New Roman" w:cs="Times New Roman"/>
        <w:kern w:val="0"/>
        <w:sz w:val="28"/>
      </w:rPr>
      <w:instrText xml:space="preserve"> PAGE </w:instrText>
    </w:r>
    <w:r>
      <w:rPr>
        <w:rFonts w:ascii="Times New Roman" w:hAnsi="Times New Roman" w:cs="Times New Roman"/>
        <w:kern w:val="0"/>
        <w:sz w:val="28"/>
      </w:rPr>
      <w:fldChar w:fldCharType="separate"/>
    </w:r>
    <w:r>
      <w:rPr>
        <w:rFonts w:ascii="Times New Roman" w:hAnsi="Times New Roman" w:cs="Times New Roman"/>
        <w:kern w:val="0"/>
        <w:sz w:val="28"/>
      </w:rPr>
      <w:t>1</w:t>
    </w:r>
    <w:r>
      <w:rPr>
        <w:rFonts w:ascii="Times New Roman" w:hAnsi="Times New Roman" w:cs="Times New Roman"/>
        <w:kern w:val="0"/>
        <w:sz w:val="28"/>
      </w:rPr>
      <w:fldChar w:fldCharType="end"/>
    </w:r>
    <w:r>
      <w:rPr>
        <w:rFonts w:ascii="Times New Roman" w:hAnsi="Times New Roman" w:cs="Times New Roman"/>
        <w:kern w:val="0"/>
        <w:sz w:val="28"/>
      </w:rPr>
      <w:t xml:space="preserve"> </w:t>
    </w:r>
    <w:r>
      <w:rPr>
        <w:rStyle w:val="11"/>
        <w:rFonts w:hint="eastAsia" w:ascii="Times New Roman" w:hAnsi="Times New Roman" w:eastAsia="宋体" w:cs="Times New Roman"/>
        <w:sz w:val="28"/>
      </w:rPr>
      <w:t>―</w:t>
    </w:r>
  </w:p>
  <w:p>
    <w:pPr>
      <w:pStyle w:val="5"/>
      <w:ind w:right="360" w:firstLine="360"/>
      <w:jc w:val="right"/>
      <w:rPr>
        <w:rStyle w:val="11"/>
        <w:rFonts w:hint="eastAsia" w:ascii="Times New Roman" w:hAnsi="Times New Roman" w:eastAsia="宋体" w:cs="Times New Roman"/>
        <w:sz w:val="28"/>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7456" behindDoc="0" locked="0" layoutInCell="1" allowOverlap="1">
              <wp:simplePos x="0" y="0"/>
              <wp:positionH relativeFrom="column">
                <wp:posOffset>47625</wp:posOffset>
              </wp:positionH>
              <wp:positionV relativeFrom="paragraph">
                <wp:posOffset>102870</wp:posOffset>
              </wp:positionV>
              <wp:extent cx="9229725" cy="635"/>
              <wp:effectExtent l="0" t="10795" r="9525" b="17145"/>
              <wp:wrapNone/>
              <wp:docPr id="14" name="直线 17"/>
              <wp:cNvGraphicFramePr/>
              <a:graphic xmlns:a="http://schemas.openxmlformats.org/drawingml/2006/main">
                <a:graphicData uri="http://schemas.microsoft.com/office/word/2010/wordprocessingShape">
                  <wps:wsp>
                    <wps:cNvCnPr/>
                    <wps:spPr>
                      <a:xfrm flipV="1">
                        <a:off x="0" y="0"/>
                        <a:ext cx="9229725" cy="635"/>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17" o:spid="_x0000_s1026" o:spt="20" style="position:absolute;left:0pt;flip:y;margin-left:3.75pt;margin-top:8.1pt;height:0.05pt;width:726.75pt;z-index:251667456;mso-width-relative:page;mso-height-relative:page;" filled="f" stroked="t" coordsize="21600,21600" o:gfxdata="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Of4V2rYAAAACAEAAA8AAAAAAAAAAQAgAAAAIgAAAGRycy9kb3ducmV2Lnht&#10;bFBLAQIUABQAAAAIAIdO4kDgQ/Io+QEAAPQDAAAOAAAAAAAAAAEAIAAAACcBAABkcnMvZTJvRG9j&#10;LnhtbFBLBQYAAAAABgAGAFkBAACSBQAAAAA=&#10;">
              <v:fill on="f" focussize="0,0"/>
              <v:stroke weight="1.75pt" color="#005192" joinstyle="miter"/>
              <v:imagedata o:title=""/>
              <o:lock v:ext="edit" aspectratio="f"/>
            </v:line>
          </w:pict>
        </mc:Fallback>
      </mc:AlternateContent>
    </w:r>
  </w:p>
  <w:p>
    <w:pPr>
      <w:pStyle w:val="5"/>
      <w:ind w:right="360" w:firstLine="360"/>
      <w:jc w:val="right"/>
      <w:rPr>
        <w:rStyle w:val="11"/>
        <w:rFonts w:hint="eastAsia" w:ascii="Times New Roman" w:hAnsi="Times New Roman" w:eastAsia="宋体" w:cs="Times New Roman"/>
        <w:sz w:val="28"/>
      </w:rPr>
    </w:pPr>
    <w:r>
      <w:rPr>
        <w:rFonts w:hint="eastAsia" w:ascii="宋体" w:hAnsi="宋体" w:eastAsia="宋体" w:cs="宋体"/>
        <w:b/>
        <w:bCs/>
        <w:color w:val="005192"/>
        <w:sz w:val="28"/>
        <w:szCs w:val="44"/>
        <w:lang w:eastAsia="zh-CN"/>
      </w:rPr>
      <w:t>重庆市永川区人民政府办公室发布</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firstLine="360"/>
      <w:jc w:val="right"/>
      <w:rPr>
        <w:rStyle w:val="11"/>
        <w:rFonts w:hint="eastAsia" w:ascii="Times New Roman" w:hAnsi="Times New Roman" w:eastAsia="宋体" w:cs="Times New Roman"/>
        <w:sz w:val="28"/>
      </w:rPr>
    </w:pPr>
    <w:r>
      <w:rPr>
        <w:rStyle w:val="11"/>
        <w:rFonts w:hint="eastAsia" w:ascii="Times New Roman" w:hAnsi="Times New Roman" w:eastAsia="宋体" w:cs="Times New Roman"/>
        <w:sz w:val="28"/>
      </w:rPr>
      <w:t>―</w:t>
    </w:r>
    <w:r>
      <w:rPr>
        <w:rFonts w:ascii="Times New Roman" w:hAnsi="Times New Roman" w:cs="Times New Roman"/>
        <w:kern w:val="0"/>
        <w:sz w:val="28"/>
      </w:rPr>
      <w:t xml:space="preserve"> </w:t>
    </w:r>
    <w:r>
      <w:rPr>
        <w:rFonts w:ascii="Times New Roman" w:hAnsi="Times New Roman" w:cs="Times New Roman"/>
        <w:kern w:val="0"/>
        <w:sz w:val="28"/>
      </w:rPr>
      <w:fldChar w:fldCharType="begin"/>
    </w:r>
    <w:r>
      <w:rPr>
        <w:rFonts w:ascii="Times New Roman" w:hAnsi="Times New Roman" w:cs="Times New Roman"/>
        <w:kern w:val="0"/>
        <w:sz w:val="28"/>
      </w:rPr>
      <w:instrText xml:space="preserve"> PAGE </w:instrText>
    </w:r>
    <w:r>
      <w:rPr>
        <w:rFonts w:ascii="Times New Roman" w:hAnsi="Times New Roman" w:cs="Times New Roman"/>
        <w:kern w:val="0"/>
        <w:sz w:val="28"/>
      </w:rPr>
      <w:fldChar w:fldCharType="separate"/>
    </w:r>
    <w:r>
      <w:rPr>
        <w:rFonts w:ascii="Times New Roman" w:hAnsi="Times New Roman" w:cs="Times New Roman"/>
        <w:kern w:val="0"/>
        <w:sz w:val="28"/>
      </w:rPr>
      <w:t>1</w:t>
    </w:r>
    <w:r>
      <w:rPr>
        <w:rFonts w:ascii="Times New Roman" w:hAnsi="Times New Roman" w:cs="Times New Roman"/>
        <w:kern w:val="0"/>
        <w:sz w:val="28"/>
      </w:rPr>
      <w:fldChar w:fldCharType="end"/>
    </w:r>
    <w:r>
      <w:rPr>
        <w:rFonts w:ascii="Times New Roman" w:hAnsi="Times New Roman" w:cs="Times New Roman"/>
        <w:kern w:val="0"/>
        <w:sz w:val="28"/>
      </w:rPr>
      <w:t xml:space="preserve"> </w:t>
    </w:r>
    <w:r>
      <w:rPr>
        <w:rStyle w:val="11"/>
        <w:rFonts w:hint="eastAsia" w:ascii="Times New Roman" w:hAnsi="Times New Roman" w:eastAsia="宋体" w:cs="Times New Roman"/>
        <w:sz w:val="28"/>
      </w:rPr>
      <w:t>―</w:t>
    </w:r>
  </w:p>
  <w:p>
    <w:pPr>
      <w:pStyle w:val="5"/>
      <w:ind w:right="360"/>
      <w:jc w:val="both"/>
      <w:rPr>
        <w:rStyle w:val="11"/>
        <w:rFonts w:hint="eastAsia" w:ascii="Times New Roman" w:hAnsi="Times New Roman" w:eastAsia="宋体" w:cs="Times New Roman"/>
        <w:sz w:val="28"/>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-9525</wp:posOffset>
              </wp:positionH>
              <wp:positionV relativeFrom="paragraph">
                <wp:posOffset>93345</wp:posOffset>
              </wp:positionV>
              <wp:extent cx="5591810" cy="635"/>
              <wp:effectExtent l="0" t="10795" r="8890" b="17145"/>
              <wp:wrapNone/>
              <wp:docPr id="13" name="直线 15"/>
              <wp:cNvGraphicFramePr/>
              <a:graphic xmlns:a="http://schemas.openxmlformats.org/drawingml/2006/main">
                <a:graphicData uri="http://schemas.microsoft.com/office/word/2010/wordprocessingShape">
                  <wps:wsp>
                    <wps:cNvCnPr/>
                    <wps:spPr>
                      <a:xfrm flipV="1">
                        <a:off x="0" y="0"/>
                        <a:ext cx="5591810" cy="635"/>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15" o:spid="_x0000_s1026" o:spt="20" style="position:absolute;left:0pt;flip:y;margin-left:-0.75pt;margin-top:7.35pt;height:0.05pt;width:440.3pt;z-index:251666432;mso-width-relative:page;mso-height-relative:page;" filled="f" stroked="t" coordsize="21600,21600" o:gfxdata="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JBgmxDZAAAACAEAAA8AAAAAAAAAAQAgAAAAIgAAAGRycy9kb3ducmV2&#10;LnhtbFBLAQIUABQAAAAIAIdO4kA8uxIZ+wEAAPQDAAAOAAAAAAAAAAEAIAAAACgBAABkcnMvZTJv&#10;RG9jLnhtbFBLBQYAAAAABgAGAFkBAACVBQAAAAA=&#10;">
              <v:fill on="f" focussize="0,0"/>
              <v:stroke weight="1.75pt" color="#005192" joinstyle="miter"/>
              <v:imagedata o:title=""/>
              <o:lock v:ext="edit" aspectratio="f"/>
            </v:line>
          </w:pict>
        </mc:Fallback>
      </mc:AlternateContent>
    </w:r>
  </w:p>
  <w:p>
    <w:pPr>
      <w:pStyle w:val="5"/>
      <w:ind w:right="360"/>
      <w:jc w:val="both"/>
      <w:rPr>
        <w:rStyle w:val="11"/>
        <w:rFonts w:hint="eastAsia" w:ascii="Times New Roman" w:hAnsi="Times New Roman" w:eastAsia="宋体" w:cs="Times New Roman"/>
        <w:sz w:val="28"/>
      </w:rPr>
    </w:pPr>
    <w:r>
      <w:rPr>
        <w:rStyle w:val="11"/>
        <w:rFonts w:hint="eastAsia" w:ascii="Times New Roman" w:hAnsi="Times New Roman" w:eastAsia="宋体" w:cs="Times New Roman"/>
        <w:sz w:val="28"/>
      </w:rPr>
      <w:t xml:space="preserve"> </w:t>
    </w:r>
    <w:r>
      <w:rPr>
        <w:rStyle w:val="11"/>
        <w:rFonts w:hint="eastAsia" w:eastAsia="宋体" w:cs="Times New Roman"/>
        <w:sz w:val="28"/>
        <w:lang w:val="en-US" w:eastAsia="zh-CN"/>
      </w:rPr>
      <w:t xml:space="preserve">                             </w:t>
    </w:r>
    <w:r>
      <w:rPr>
        <w:rFonts w:hint="eastAsia" w:ascii="宋体" w:hAnsi="宋体" w:eastAsia="宋体" w:cs="宋体"/>
        <w:b/>
        <w:bCs/>
        <w:color w:val="005192"/>
        <w:sz w:val="28"/>
        <w:szCs w:val="44"/>
        <w:lang w:eastAsia="zh-CN"/>
      </w:rPr>
      <w:t>重庆市永川区人民政府办公室发布</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left"/>
      <w:rPr>
        <w:rFonts w:hint="eastAsia" w:ascii="宋体" w:hAnsi="宋体" w:eastAsia="宋体" w:cs="宋体"/>
        <w:b/>
        <w:bCs/>
        <w:color w:val="005192"/>
        <w:sz w:val="28"/>
        <w:szCs w:val="44"/>
        <w:lang w:eastAsia="zh-CN"/>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9504" behindDoc="0" locked="0" layoutInCell="1" allowOverlap="1">
              <wp:simplePos x="0" y="0"/>
              <wp:positionH relativeFrom="column">
                <wp:posOffset>-9525</wp:posOffset>
              </wp:positionH>
              <wp:positionV relativeFrom="paragraph">
                <wp:posOffset>183515</wp:posOffset>
              </wp:positionV>
              <wp:extent cx="8277860" cy="8890"/>
              <wp:effectExtent l="0" t="0" r="0" b="0"/>
              <wp:wrapNone/>
              <wp:docPr id="16" name="直线 19"/>
              <wp:cNvGraphicFramePr/>
              <a:graphic xmlns:a="http://schemas.openxmlformats.org/drawingml/2006/main">
                <a:graphicData uri="http://schemas.microsoft.com/office/word/2010/wordprocessingShape">
                  <wps:wsp>
                    <wps:cNvCnPr/>
                    <wps:spPr>
                      <a:xfrm>
                        <a:off x="0" y="0"/>
                        <a:ext cx="8277860" cy="889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19" o:spid="_x0000_s1026" o:spt="20" style="position:absolute;left:0pt;margin-left:-0.75pt;margin-top:14.45pt;height:0.7pt;width:651.8pt;z-index:251669504;mso-width-relative:page;mso-height-relative:page;" filled="f" stroked="t" coordsize="21600,21600" o:gfxdata="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PmUfHWAAAACQEAAA8AAAAAAAAAAQAgAAAAIgAAAGRycy9kb3ducmV2LnhtbFBLAQIU&#10;ABQAAAAIAIdO4kDA/Tna9QEAAOsDAAAOAAAAAAAAAAEAIAAAACUBAABkcnMvZTJvRG9jLnhtbFBL&#10;BQYAAAAABgAGAFkBAACMBQAAAAA=&#10;">
              <v:fill on="f" focussize="0,0"/>
              <v:stroke weight="1.75pt" color="#005192" joinstyle="miter"/>
              <v:imagedata o:title=""/>
              <o:lock v:ext="edit" aspectratio="f"/>
            </v:line>
          </w:pict>
        </mc:Fallback>
      </mc:AlternateContent>
    </w:r>
  </w:p>
  <w:p>
    <w:pPr>
      <w:pStyle w:val="6"/>
      <w:ind w:firstLine="8433" w:firstLineChars="3000"/>
      <w:jc w:val="left"/>
      <w:rPr>
        <w:rFonts w:eastAsia="仿宋"/>
        <w:sz w:val="32"/>
        <w:szCs w:val="48"/>
      </w:rPr>
    </w:pPr>
    <w:r>
      <w:rPr>
        <w:rFonts w:hint="eastAsia" w:ascii="宋体" w:hAnsi="宋体" w:eastAsia="宋体" w:cs="宋体"/>
        <w:b/>
        <w:bCs/>
        <w:color w:val="005192"/>
        <w:sz w:val="28"/>
        <w:szCs w:val="44"/>
        <w:lang w:eastAsia="zh-CN"/>
      </w:rPr>
      <w:t>重庆市永川区人民政府办公室发布</w:t>
    </w:r>
  </w:p>
  <w:p>
    <w:pPr>
      <w:pStyle w:val="6"/>
      <w:wordWrap/>
      <w:jc w:val="left"/>
      <w:rPr>
        <w:rFonts w:hint="eastAsia" w:ascii="宋体" w:hAnsi="宋体" w:eastAsia="宋体" w:cs="宋体"/>
        <w:b/>
        <w:bCs/>
        <w:color w:val="005192"/>
        <w:sz w:val="28"/>
        <w:szCs w:val="44"/>
        <w:lang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bottom w:val="none" w:color="auto" w:sz="0" w:space="0"/>
      </w:pBdr>
      <w:snapToGrid w:val="0"/>
      <w:jc w:val="both"/>
      <w:rPr>
        <w:rFonts w:ascii="Times New Roman" w:hAnsi="Times New Roman" w:eastAsia="方正仿宋_GBK" w:cs="Times New Roman"/>
        <w:kern w:val="2"/>
        <w:sz w:val="18"/>
        <w:lang w:val="en-US" w:eastAsia="zh-CN" w:bidi="ar-SA"/>
      </w:rPr>
    </w:pPr>
  </w:p>
  <w:p>
    <w:pPr>
      <w:widowControl w:val="0"/>
      <w:pBdr>
        <w:bottom w:val="none" w:color="auto" w:sz="0" w:space="0"/>
      </w:pBdr>
      <w:snapToGrid w:val="0"/>
      <w:jc w:val="both"/>
      <w:rPr>
        <w:rFonts w:ascii="Times New Roman" w:hAnsi="Times New Roman" w:eastAsia="方正仿宋_GBK" w:cs="Times New Roman"/>
        <w:kern w:val="2"/>
        <w:sz w:val="18"/>
        <w:lang w:val="en-US" w:eastAsia="zh-CN" w:bidi="ar-SA"/>
      </w:rPr>
    </w:pPr>
  </w:p>
  <w:p>
    <w:pPr>
      <w:widowControl w:val="0"/>
      <w:pBdr>
        <w:bottom w:val="none" w:color="auto" w:sz="0" w:space="0"/>
      </w:pBdr>
      <w:snapToGrid w:val="0"/>
      <w:jc w:val="both"/>
      <w:rPr>
        <w:rFonts w:ascii="Times New Roman" w:hAnsi="Times New Roman" w:eastAsia="方正仿宋_GBK" w:cs="Times New Roman"/>
        <w:kern w:val="2"/>
        <w:sz w:val="18"/>
        <w:lang w:val="en-US" w:eastAsia="zh-CN" w:bidi="ar-SA"/>
      </w:rPr>
    </w:pP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重庆市永川区人民政府行政</w:t>
    </w:r>
    <w:r>
      <w:rPr>
        <w:rFonts w:hint="eastAsia" w:ascii="宋体" w:hAnsi="宋体" w:eastAsia="宋体" w:cs="宋体"/>
        <w:b/>
        <w:bCs/>
        <w:color w:val="005192"/>
        <w:sz w:val="32"/>
        <w:szCs w:val="32"/>
      </w:rPr>
      <w:t>规范性文件</w:t>
    </w:r>
  </w:p>
  <w:p>
    <w:pPr>
      <w:widowControl w:val="0"/>
      <w:pBdr>
        <w:bottom w:val="none" w:color="auto" w:sz="0" w:space="0"/>
      </w:pBdr>
      <w:snapToGrid w:val="0"/>
      <w:jc w:val="both"/>
      <w:rPr>
        <w:rFonts w:ascii="Times New Roman" w:hAnsi="Times New Roman" w:eastAsia="方正仿宋_GBK" w:cs="Times New Roman"/>
        <w:kern w:val="2"/>
        <w:sz w:val="18"/>
        <w:lang w:val="en-US" w:eastAsia="zh-CN" w:bidi="ar-SA"/>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9525</wp:posOffset>
              </wp:positionH>
              <wp:positionV relativeFrom="paragraph">
                <wp:posOffset>47625</wp:posOffset>
              </wp:positionV>
              <wp:extent cx="5620385" cy="0"/>
              <wp:effectExtent l="0" t="10795" r="18415" b="17780"/>
              <wp:wrapNone/>
              <wp:docPr id="8"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4" o:spid="_x0000_s1026" o:spt="20" style="position:absolute;left:0pt;margin-left:0.75pt;margin-top:3.75pt;height:0pt;width:442.55pt;z-index:251661312;mso-width-relative:page;mso-height-relative:page;" filled="f" stroked="t" coordsize="21600,21600" o:gfxdata="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D/rZ4NEAAAAFAQAADwAAAAAAAAABACAAAAAiAAAAZHJzL2Rvd25yZXYueG1sUEsBAhQAFAAA&#10;AAgAh07iQK0s5C72AQAAywMAAA4AAAAAAAAAAQAgAAAAIAEAAGRycy9lMm9Eb2MueG1sUEsFBgAA&#10;AAAGAAYAWQEAAIgFAAAAAA==&#10;">
              <v:fill on="f" focussize="0,0"/>
              <v:stroke weight="1.75pt" color="#005192" miterlimit="8" joinstyle="miter"/>
              <v:imagedata o:title=""/>
              <o:lock v:ext="edit" aspectratio="f"/>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重庆市永川区人民政府行政</w:t>
    </w:r>
    <w:r>
      <w:rPr>
        <w:rFonts w:hint="eastAsia" w:ascii="宋体" w:hAnsi="宋体" w:eastAsia="宋体" w:cs="宋体"/>
        <w:b/>
        <w:bCs/>
        <w:color w:val="005192"/>
        <w:sz w:val="32"/>
        <w:szCs w:val="32"/>
      </w:rPr>
      <w:t>规范性文件</w:t>
    </w:r>
  </w:p>
  <w:p>
    <w:pPr>
      <w:widowControl w:val="0"/>
      <w:pBdr>
        <w:bottom w:val="none" w:color="auto" w:sz="0" w:space="0"/>
      </w:pBdr>
      <w:snapToGrid w:val="0"/>
      <w:jc w:val="both"/>
      <w:rPr>
        <w:rFonts w:ascii="Times New Roman" w:hAnsi="Times New Roman" w:eastAsia="方正仿宋_GBK" w:cs="Times New Roman"/>
        <w:kern w:val="2"/>
        <w:sz w:val="18"/>
        <w:lang w:val="en-US" w:eastAsia="zh-CN" w:bidi="ar-SA"/>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43815</wp:posOffset>
              </wp:positionH>
              <wp:positionV relativeFrom="paragraph">
                <wp:posOffset>19685</wp:posOffset>
              </wp:positionV>
              <wp:extent cx="9229725" cy="635"/>
              <wp:effectExtent l="0" t="10795" r="9525" b="17145"/>
              <wp:wrapNone/>
              <wp:docPr id="10" name="直线 5"/>
              <wp:cNvGraphicFramePr/>
              <a:graphic xmlns:a="http://schemas.openxmlformats.org/drawingml/2006/main">
                <a:graphicData uri="http://schemas.microsoft.com/office/word/2010/wordprocessingShape">
                  <wps:wsp>
                    <wps:cNvCnPr/>
                    <wps:spPr>
                      <a:xfrm flipV="1">
                        <a:off x="0" y="0"/>
                        <a:ext cx="9229725" cy="635"/>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5" o:spid="_x0000_s1026" o:spt="20" style="position:absolute;left:0pt;flip:y;margin-left:3.45pt;margin-top:1.55pt;height:0.05pt;width:726.75pt;z-index:251663360;mso-width-relative:page;mso-height-relative:page;" filled="f" stroked="t" coordsize="21600,21600" o:gfxdata="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ecdEP1gAAAAYBAAAPAAAAAAAAAAEAIAAAACIAAABkcnMvZG93bnJldi54bWxQ&#10;SwECFAAUAAAACACHTuJA44xTMvkBAADzAwAADgAAAAAAAAABACAAAAAlAQAAZHJzL2Uyb0RvYy54&#10;bWxQSwUGAAAAAAYABgBZAQAAkAUAAAAA&#10;">
              <v:fill on="f" focussize="0,0"/>
              <v:stroke weight="1.75pt" color="#005192" joinstyle="miter"/>
              <v:imagedata o:title=""/>
              <o:lock v:ext="edit" aspectratio="f"/>
            </v:line>
          </w:pict>
        </mc:Fallback>
      </mc:AlternateContent>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-1008380</wp:posOffset>
              </wp:positionH>
              <wp:positionV relativeFrom="paragraph">
                <wp:posOffset>-1283335</wp:posOffset>
              </wp:positionV>
              <wp:extent cx="5620385" cy="0"/>
              <wp:effectExtent l="0" t="10795" r="18415" b="17780"/>
              <wp:wrapNone/>
              <wp:docPr id="9"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4" o:spid="_x0000_s1026" o:spt="20" style="position:absolute;left:0pt;margin-left:-79.4pt;margin-top:-101.05pt;height:0pt;width:442.55pt;z-index:251662336;mso-width-relative:page;mso-height-relative:page;" filled="f" stroked="t" coordsize="21600,21600" o:gfxdata="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gq8W9gAAAAOAQAADwAAAAAAAAABACAAAAAiAAAAZHJzL2Rvd25yZXYueG1s&#10;UEsBAhQAFAAAAAgAh07iQNNt3TP4AQAAywMAAA4AAAAAAAAAAQAgAAAAJwEAAGRycy9lMm9Eb2Mu&#10;eG1sUEsFBgAAAAAGAAYAWQEAAJEFAAAAAA==&#10;">
              <v:fill on="f" focussize="0,0"/>
              <v:stroke weight="1.75pt" color="#005192" miterlimit="8" joinstyle="miter"/>
              <v:imagedata o:title=""/>
              <o:lock v:ext="edit" aspectratio="f"/>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hint="eastAsia" w:ascii="宋体" w:hAnsi="宋体" w:eastAsia="宋体" w:cs="宋体"/>
        <w:b/>
        <w:bCs/>
        <w:color w:val="005192"/>
        <w:sz w:val="21"/>
        <w:szCs w:val="13"/>
      </w:rPr>
    </w:pPr>
  </w:p>
  <w:p>
    <w:pPr>
      <w:pStyle w:val="6"/>
      <w:textAlignment w:val="center"/>
      <w:rPr>
        <w:rFonts w:hint="eastAsia" w:ascii="宋体" w:hAnsi="宋体" w:eastAsia="宋体" w:cs="宋体"/>
        <w:b/>
        <w:bCs/>
        <w:color w:val="005192"/>
        <w:sz w:val="18"/>
        <w:szCs w:val="10"/>
      </w:rPr>
    </w:pPr>
  </w:p>
  <w:p>
    <w:pPr>
      <w:pStyle w:val="6"/>
      <w:textAlignment w:val="center"/>
      <w:rPr>
        <w:rFonts w:hint="eastAsia" w:ascii="宋体" w:hAnsi="宋体" w:eastAsia="宋体" w:cs="宋体"/>
        <w:b/>
        <w:bCs/>
        <w:color w:val="005192"/>
        <w:sz w:val="2"/>
        <w:szCs w:val="2"/>
      </w:rPr>
    </w:pPr>
  </w:p>
  <w:p>
    <w:pPr>
      <w:pStyle w:val="6"/>
      <w:textAlignment w:val="center"/>
      <w:rPr>
        <w:rFonts w:ascii="Times New Roman" w:hAnsi="Times New Roman" w:eastAsia="方正仿宋_GBK" w:cs="Times New Roman"/>
        <w:kern w:val="2"/>
        <w:sz w:val="18"/>
        <w:lang w:val="en-US" w:eastAsia="zh-CN" w:bidi="ar-SA"/>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5715</wp:posOffset>
              </wp:positionH>
              <wp:positionV relativeFrom="paragraph">
                <wp:posOffset>457835</wp:posOffset>
              </wp:positionV>
              <wp:extent cx="5591810" cy="635"/>
              <wp:effectExtent l="0" t="10795" r="8890" b="17145"/>
              <wp:wrapNone/>
              <wp:docPr id="12" name="直线 8"/>
              <wp:cNvGraphicFramePr/>
              <a:graphic xmlns:a="http://schemas.openxmlformats.org/drawingml/2006/main">
                <a:graphicData uri="http://schemas.microsoft.com/office/word/2010/wordprocessingShape">
                  <wps:wsp>
                    <wps:cNvCnPr/>
                    <wps:spPr>
                      <a:xfrm flipV="1">
                        <a:off x="0" y="0"/>
                        <a:ext cx="5591810" cy="635"/>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8" o:spid="_x0000_s1026" o:spt="20" style="position:absolute;left:0pt;flip:y;margin-left:0.45pt;margin-top:36.05pt;height:0.05pt;width:440.3pt;z-index:251665408;mso-width-relative:page;mso-height-relative:page;" filled="f" stroked="t" coordsize="21600,21600" o:gfxdata="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MCRauPWAAAABgEAAA8AAAAAAAAAAQAgAAAAIgAAAGRycy9kb3ducmV2LnhtbFBL&#10;AQIUABQAAAAIAIdO4kDf9h/I+AEAAPMDAAAOAAAAAAAAAAEAIAAAACUBAABkcnMvZTJvRG9jLnht&#10;bFBLBQYAAAAABgAGAFkBAACPBQAAAAA=&#10;">
              <v:fill on="f" focussize="0,0"/>
              <v:stroke weight="1.75pt" color="#005192"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4" name="图片 4"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重庆市永川区人民政府行政</w:t>
    </w:r>
    <w:r>
      <w:rPr>
        <w:rFonts w:hint="eastAsia" w:ascii="宋体" w:hAnsi="宋体" w:eastAsia="宋体" w:cs="宋体"/>
        <w:b/>
        <w:bCs/>
        <w:color w:val="005192"/>
        <w:sz w:val="32"/>
        <w:szCs w:val="32"/>
      </w:rPr>
      <w:t>规范性文件</w:t>
    </w: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-1008380</wp:posOffset>
              </wp:positionH>
              <wp:positionV relativeFrom="paragraph">
                <wp:posOffset>-1283335</wp:posOffset>
              </wp:positionV>
              <wp:extent cx="5620385" cy="0"/>
              <wp:effectExtent l="0" t="10795" r="18415" b="17780"/>
              <wp:wrapNone/>
              <wp:docPr id="11"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直接连接符 4" o:spid="_x0000_s1026" o:spt="20" style="position:absolute;left:0pt;margin-left:-79.4pt;margin-top:-101.05pt;height:0pt;width:442.55pt;z-index:251664384;mso-width-relative:page;mso-height-relative:page;" filled="f" stroked="t" coordsize="21600,21600" o:gfxdata="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Hgq8W9gAAAAOAQAADwAAAAAAAAABACAAAAAiAAAAZHJzL2Rvd25yZXYueG1s&#10;UEsBAhQAFAAAAAgAh07iQFRKeuH4AQAAzAMAAA4AAAAAAAAAAQAgAAAAJwEAAGRycy9lMm9Eb2Mu&#10;eG1sUEsFBgAAAAAGAAYAWQEAAJEFAAAAAA==&#10;">
              <v:fill on="f" focussize="0,0"/>
              <v:stroke weight="1.75pt" color="#005192" miterlimit="8" joinstyle="miter"/>
              <v:imagedata o:title=""/>
              <o:lock v:ext="edit" aspectratio="f"/>
            </v:lin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top w:val="none" w:color="auto" w:sz="0" w:space="1"/>
        <w:left w:val="none" w:color="auto" w:sz="0" w:space="4"/>
        <w:bottom w:val="none" w:color="993300" w:sz="0" w:space="1"/>
        <w:right w:val="none" w:color="auto" w:sz="0" w:space="4"/>
        <w:between w:val="none" w:color="auto" w:sz="0" w:space="0"/>
      </w:pBdr>
      <w:textAlignment w:val="center"/>
      <w:rPr>
        <w:rFonts w:ascii="宋体" w:hAnsi="宋体" w:eastAsia="宋体" w:cs="宋体"/>
        <w:b/>
        <w:bCs/>
        <w:color w:val="005192"/>
        <w:sz w:val="32"/>
        <w:szCs w:val="32"/>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8480" behindDoc="0" locked="0" layoutInCell="1" allowOverlap="1">
              <wp:simplePos x="0" y="0"/>
              <wp:positionH relativeFrom="column">
                <wp:posOffset>19050</wp:posOffset>
              </wp:positionH>
              <wp:positionV relativeFrom="paragraph">
                <wp:posOffset>361950</wp:posOffset>
              </wp:positionV>
              <wp:extent cx="8258810" cy="10160"/>
              <wp:effectExtent l="0" t="0" r="0" b="0"/>
              <wp:wrapNone/>
              <wp:docPr id="15" name="直线 18"/>
              <wp:cNvGraphicFramePr/>
              <a:graphic xmlns:a="http://schemas.openxmlformats.org/drawingml/2006/main">
                <a:graphicData uri="http://schemas.microsoft.com/office/word/2010/wordprocessingShape">
                  <wps:wsp>
                    <wps:cNvCnPr/>
                    <wps:spPr>
                      <a:xfrm flipV="1">
                        <a:off x="0" y="0"/>
                        <a:ext cx="8258810" cy="10160"/>
                      </a:xfrm>
                      <a:prstGeom prst="line">
                        <a:avLst/>
                      </a:prstGeom>
                      <a:ln w="22225" cap="flat" cmpd="sng">
                        <a:solidFill>
                          <a:srgbClr val="005192"/>
                        </a:solidFill>
                        <a:prstDash val="solid"/>
                        <a:miter/>
                        <a:headEnd type="none" w="med" len="med"/>
                        <a:tailEnd type="none" w="med" len="med"/>
                      </a:ln>
                    </wps:spPr>
                    <wps:bodyPr upright="1"/>
                  </wps:wsp>
                </a:graphicData>
              </a:graphic>
            </wp:anchor>
          </w:drawing>
        </mc:Choice>
        <mc:Fallback>
          <w:pict>
            <v:line id="直线 18" o:spid="_x0000_s1026" o:spt="20" style="position:absolute;left:0pt;flip:y;margin-left:1.5pt;margin-top:28.5pt;height:0.8pt;width:650.3pt;z-index:251668480;mso-width-relative:page;mso-height-relative:page;" filled="f" stroked="t" coordsize="21600,21600" o:gfxdata="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Bfy6xbZAAAACAEAAA8AAAAAAAAAAQAgAAAAIgAAAGRycy9kb3ducmV2&#10;LnhtbFBLAQIUABQAAAAIAIdO4kAFOw3m+wEAAPYDAAAOAAAAAAAAAAEAIAAAACgBAABkcnMvZTJv&#10;RG9jLnhtbFBLBQYAAAAABgAGAFkBAACVBQAAAAA=&#10;">
              <v:fill on="f" focussize="0,0"/>
              <v:stroke weight="1.75pt" color="#005192"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5" name="图片 5"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重庆市永川区人民政府行政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ZkNmRhYjgyODExMjJlNDI4MDg2MTg0OWRiOTk0MjYifQ=="/>
  </w:docVars>
  <w:rsids>
    <w:rsidRoot w:val="00172A27"/>
    <w:rsid w:val="00172A27"/>
    <w:rsid w:val="002E15B4"/>
    <w:rsid w:val="003220D7"/>
    <w:rsid w:val="00343634"/>
    <w:rsid w:val="004B21E2"/>
    <w:rsid w:val="004F332D"/>
    <w:rsid w:val="005767A7"/>
    <w:rsid w:val="006A5BB1"/>
    <w:rsid w:val="008535AA"/>
    <w:rsid w:val="00A6399F"/>
    <w:rsid w:val="00B64CAE"/>
    <w:rsid w:val="00C669E4"/>
    <w:rsid w:val="00C7429B"/>
    <w:rsid w:val="00C75245"/>
    <w:rsid w:val="00D140E3"/>
    <w:rsid w:val="00D60F5A"/>
    <w:rsid w:val="00F077EF"/>
    <w:rsid w:val="00F81E77"/>
    <w:rsid w:val="019E71BD"/>
    <w:rsid w:val="026779BA"/>
    <w:rsid w:val="029702A0"/>
    <w:rsid w:val="038D4FB1"/>
    <w:rsid w:val="041C42DA"/>
    <w:rsid w:val="04B679C3"/>
    <w:rsid w:val="05F07036"/>
    <w:rsid w:val="06E00104"/>
    <w:rsid w:val="080F63D8"/>
    <w:rsid w:val="09341458"/>
    <w:rsid w:val="098254C2"/>
    <w:rsid w:val="09931095"/>
    <w:rsid w:val="0A766EDE"/>
    <w:rsid w:val="0AD64BE8"/>
    <w:rsid w:val="0B0912D7"/>
    <w:rsid w:val="0C264442"/>
    <w:rsid w:val="0E025194"/>
    <w:rsid w:val="152D2DCA"/>
    <w:rsid w:val="187168EA"/>
    <w:rsid w:val="18932E60"/>
    <w:rsid w:val="196673CA"/>
    <w:rsid w:val="1B2F4AEE"/>
    <w:rsid w:val="1CF734C9"/>
    <w:rsid w:val="1D81415D"/>
    <w:rsid w:val="1DEC284C"/>
    <w:rsid w:val="1E6523AC"/>
    <w:rsid w:val="22440422"/>
    <w:rsid w:val="22BB4BBB"/>
    <w:rsid w:val="27E93F4F"/>
    <w:rsid w:val="2AEB3417"/>
    <w:rsid w:val="31A15F24"/>
    <w:rsid w:val="321D6B60"/>
    <w:rsid w:val="324A1681"/>
    <w:rsid w:val="36FB1DF0"/>
    <w:rsid w:val="395347B5"/>
    <w:rsid w:val="39A232A0"/>
    <w:rsid w:val="39E745AA"/>
    <w:rsid w:val="3B5A6BBB"/>
    <w:rsid w:val="3DB5514E"/>
    <w:rsid w:val="3EDA13A6"/>
    <w:rsid w:val="417B75E9"/>
    <w:rsid w:val="42F058B7"/>
    <w:rsid w:val="436109F6"/>
    <w:rsid w:val="441A38D4"/>
    <w:rsid w:val="4504239D"/>
    <w:rsid w:val="4BBD5C8C"/>
    <w:rsid w:val="4BC77339"/>
    <w:rsid w:val="4C4344D0"/>
    <w:rsid w:val="4C6C1080"/>
    <w:rsid w:val="4C9236C5"/>
    <w:rsid w:val="4E0503ED"/>
    <w:rsid w:val="4E250A85"/>
    <w:rsid w:val="4FFD4925"/>
    <w:rsid w:val="505C172E"/>
    <w:rsid w:val="506405EA"/>
    <w:rsid w:val="52F46F0B"/>
    <w:rsid w:val="532B6A10"/>
    <w:rsid w:val="53D8014D"/>
    <w:rsid w:val="55E064E0"/>
    <w:rsid w:val="572C6D10"/>
    <w:rsid w:val="5DC34279"/>
    <w:rsid w:val="5FCD688E"/>
    <w:rsid w:val="5FF9BDAA"/>
    <w:rsid w:val="608816D1"/>
    <w:rsid w:val="60EF4E7F"/>
    <w:rsid w:val="641A530E"/>
    <w:rsid w:val="643979E4"/>
    <w:rsid w:val="648B0A32"/>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方正仿宋_GBK" w:cs="Times New Roman"/>
      <w:kern w:val="2"/>
      <w:sz w:val="3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3"/>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character" w:styleId="11">
    <w:name w:val="page number"/>
    <w:uiPriority w:val="0"/>
  </w:style>
  <w:style w:type="paragraph" w:customStyle="1" w:styleId="12">
    <w:name w:val="p0"/>
    <w:basedOn w:val="1"/>
    <w:qFormat/>
    <w:uiPriority w:val="0"/>
    <w:pPr>
      <w:widowControl/>
    </w:pPr>
    <w:rPr>
      <w:rFonts w:ascii="Calibri" w:hAnsi="Calibri" w:eastAsia="宋体" w:cs="宋体"/>
      <w:kern w:val="0"/>
      <w:szCs w:val="32"/>
    </w:rPr>
  </w:style>
  <w:style w:type="character" w:customStyle="1" w:styleId="13">
    <w:name w:val="批注框文本 Char"/>
    <w:basedOn w:val="9"/>
    <w:link w:val="4"/>
    <w:qFormat/>
    <w:uiPriority w:val="0"/>
    <w:rPr>
      <w:rFonts w:asciiTheme="minorHAnsi" w:hAnsiTheme="minorHAnsi" w:eastAsiaTheme="minorEastAsia" w:cstheme="minorBidi"/>
      <w:kern w:val="2"/>
      <w:sz w:val="18"/>
      <w:szCs w:val="18"/>
    </w:rPr>
  </w:style>
  <w:style w:type="paragraph" w:customStyle="1" w:styleId="14">
    <w:name w:val="列出段落"/>
    <w:qFormat/>
    <w:uiPriority w:val="0"/>
    <w:pPr>
      <w:widowControl w:val="0"/>
      <w:spacing w:line="600" w:lineRule="exact"/>
      <w:ind w:firstLine="420" w:firstLineChars="200"/>
      <w:jc w:val="center"/>
    </w:pPr>
    <w:rPr>
      <w:rFonts w:ascii="方正小标宋_GBK" w:hAnsi="Calibri" w:eastAsia="方正小标宋_GBK" w:cs="Times New Roman"/>
      <w:kern w:val="2"/>
      <w:sz w:val="44"/>
      <w:szCs w:val="4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5302</Words>
  <Characters>5442</Characters>
  <Lines>1</Lines>
  <Paragraphs>1</Paragraphs>
  <TotalTime>1</TotalTime>
  <ScaleCrop>false</ScaleCrop>
  <LinksUpToDate>false</LinksUpToDate>
  <CharactersWithSpaces>5996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噢哈唷</cp:lastModifiedBy>
  <cp:lastPrinted>2022-06-08T07:18:00Z</cp:lastPrinted>
  <dcterms:modified xsi:type="dcterms:W3CDTF">2023-11-06T09:59:41Z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5A018FF0D00B43789CA75326C177F158</vt:lpwstr>
  </property>
</Properties>
</file>